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55" w:rsidRPr="006E7076" w:rsidRDefault="00F265D3" w:rsidP="008A3D55">
      <w:pPr>
        <w:pStyle w:val="Titl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751" w:rsidRPr="006E7076">
        <w:rPr>
          <w:rFonts w:ascii="Verdana" w:hAnsi="Verdana"/>
          <w:sz w:val="24"/>
          <w:szCs w:val="24"/>
        </w:rPr>
        <w:t xml:space="preserve">UC </w:t>
      </w:r>
      <w:r w:rsidR="008A3D55" w:rsidRPr="006E7076">
        <w:rPr>
          <w:rFonts w:ascii="Verdana" w:hAnsi="Verdana"/>
          <w:sz w:val="24"/>
          <w:szCs w:val="24"/>
        </w:rPr>
        <w:t>ANR Academic Personnel</w:t>
      </w:r>
      <w:r w:rsidR="00382751" w:rsidRPr="006E7076">
        <w:rPr>
          <w:rFonts w:ascii="Verdana" w:hAnsi="Verdana"/>
          <w:sz w:val="24"/>
          <w:szCs w:val="24"/>
        </w:rPr>
        <w:t xml:space="preserve"> Unit</w:t>
      </w:r>
    </w:p>
    <w:p w:rsidR="006E49A1" w:rsidRPr="006E7076" w:rsidRDefault="006E49A1" w:rsidP="008A3D55">
      <w:pPr>
        <w:pStyle w:val="Title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Junior Specialist </w:t>
      </w:r>
      <w:r w:rsidR="008172D5" w:rsidRPr="006E7076">
        <w:rPr>
          <w:rFonts w:ascii="Verdana" w:hAnsi="Verdana"/>
          <w:sz w:val="24"/>
          <w:szCs w:val="24"/>
        </w:rPr>
        <w:t xml:space="preserve">NEX </w:t>
      </w:r>
      <w:r w:rsidR="00A37D51" w:rsidRPr="006E7076">
        <w:rPr>
          <w:rFonts w:ascii="Verdana" w:hAnsi="Verdana"/>
          <w:sz w:val="24"/>
          <w:szCs w:val="24"/>
        </w:rPr>
        <w:t>(</w:t>
      </w:r>
      <w:r w:rsidR="009D6631" w:rsidRPr="006E7076">
        <w:rPr>
          <w:rFonts w:ascii="Verdana" w:hAnsi="Verdana"/>
          <w:sz w:val="24"/>
          <w:szCs w:val="24"/>
        </w:rPr>
        <w:t>Non-exempt</w:t>
      </w:r>
      <w:r w:rsidR="00A37D51" w:rsidRPr="006E7076">
        <w:rPr>
          <w:rFonts w:ascii="Verdana" w:hAnsi="Verdana"/>
          <w:sz w:val="24"/>
          <w:szCs w:val="24"/>
        </w:rPr>
        <w:t>)</w:t>
      </w:r>
      <w:r w:rsidR="009D6631" w:rsidRPr="006E7076">
        <w:rPr>
          <w:rFonts w:ascii="Verdana" w:hAnsi="Verdana"/>
          <w:sz w:val="24"/>
          <w:szCs w:val="24"/>
        </w:rPr>
        <w:t xml:space="preserve"> </w:t>
      </w:r>
      <w:r w:rsidRPr="006E7076">
        <w:rPr>
          <w:rFonts w:ascii="Verdana" w:hAnsi="Verdana"/>
          <w:sz w:val="24"/>
          <w:szCs w:val="24"/>
        </w:rPr>
        <w:t xml:space="preserve">Appointment </w:t>
      </w:r>
      <w:r w:rsidR="008172D5" w:rsidRPr="006E7076">
        <w:rPr>
          <w:rFonts w:ascii="Verdana" w:hAnsi="Verdana"/>
          <w:sz w:val="24"/>
          <w:szCs w:val="24"/>
        </w:rPr>
        <w:t>Title Code 3329</w:t>
      </w:r>
    </w:p>
    <w:p w:rsidR="003B1340" w:rsidRPr="006E7076" w:rsidRDefault="006E49A1" w:rsidP="008A3D55">
      <w:pPr>
        <w:pStyle w:val="Title"/>
        <w:rPr>
          <w:rFonts w:ascii="Verdana" w:hAnsi="Verdana"/>
          <w:i/>
          <w:sz w:val="24"/>
          <w:szCs w:val="24"/>
        </w:rPr>
      </w:pPr>
      <w:r w:rsidRPr="006E7076">
        <w:rPr>
          <w:rFonts w:ascii="Verdana" w:hAnsi="Verdana"/>
          <w:i/>
          <w:sz w:val="24"/>
          <w:szCs w:val="24"/>
        </w:rPr>
        <w:t>(APM 330 – Specialist Series)</w:t>
      </w:r>
      <w:r w:rsidR="00A07542" w:rsidRPr="006E7076">
        <w:rPr>
          <w:rFonts w:ascii="Verdana" w:hAnsi="Verdana"/>
          <w:i/>
          <w:sz w:val="24"/>
          <w:szCs w:val="24"/>
        </w:rPr>
        <w:t xml:space="preserve"> </w:t>
      </w:r>
    </w:p>
    <w:p w:rsidR="00017110" w:rsidRPr="006E7076" w:rsidRDefault="000F0F4E" w:rsidP="00017110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The </w:t>
      </w:r>
      <w:r w:rsidR="00485650" w:rsidRPr="006E7076">
        <w:rPr>
          <w:rFonts w:ascii="Verdana" w:hAnsi="Verdana"/>
          <w:sz w:val="24"/>
          <w:szCs w:val="24"/>
        </w:rPr>
        <w:t>Junior Specialist</w:t>
      </w:r>
      <w:r w:rsidR="00A37D51" w:rsidRPr="006E7076">
        <w:rPr>
          <w:rFonts w:ascii="Verdana" w:hAnsi="Verdana"/>
          <w:sz w:val="24"/>
          <w:szCs w:val="24"/>
        </w:rPr>
        <w:t xml:space="preserve"> NEX</w:t>
      </w:r>
      <w:r w:rsidR="009D6631" w:rsidRPr="006E7076">
        <w:rPr>
          <w:rFonts w:ascii="Verdana" w:hAnsi="Verdana"/>
          <w:sz w:val="24"/>
          <w:szCs w:val="24"/>
        </w:rPr>
        <w:t xml:space="preserve"> </w:t>
      </w:r>
      <w:r w:rsidR="00A37D51" w:rsidRPr="006E7076">
        <w:rPr>
          <w:rFonts w:ascii="Verdana" w:hAnsi="Verdana"/>
          <w:sz w:val="24"/>
          <w:szCs w:val="24"/>
        </w:rPr>
        <w:t>(</w:t>
      </w:r>
      <w:r w:rsidR="009D6631" w:rsidRPr="006E7076">
        <w:rPr>
          <w:rFonts w:ascii="Verdana" w:hAnsi="Verdana"/>
          <w:sz w:val="24"/>
          <w:szCs w:val="24"/>
        </w:rPr>
        <w:t>Non-exempt</w:t>
      </w:r>
      <w:r w:rsidR="00A37D51" w:rsidRPr="006E7076">
        <w:rPr>
          <w:rFonts w:ascii="Verdana" w:hAnsi="Verdana"/>
          <w:sz w:val="24"/>
          <w:szCs w:val="24"/>
        </w:rPr>
        <w:t>)</w:t>
      </w:r>
      <w:r w:rsidR="00485650" w:rsidRPr="006E7076">
        <w:rPr>
          <w:rFonts w:ascii="Verdana" w:hAnsi="Verdana"/>
          <w:sz w:val="24"/>
          <w:szCs w:val="24"/>
        </w:rPr>
        <w:t xml:space="preserve"> title is for individuals who will engage in specialized research</w:t>
      </w:r>
      <w:r w:rsidR="0088729B" w:rsidRPr="006E7076">
        <w:rPr>
          <w:rFonts w:ascii="Verdana" w:hAnsi="Verdana"/>
          <w:sz w:val="24"/>
          <w:szCs w:val="24"/>
        </w:rPr>
        <w:t xml:space="preserve"> </w:t>
      </w:r>
      <w:r w:rsidR="00485650" w:rsidRPr="006E7076">
        <w:rPr>
          <w:rFonts w:ascii="Verdana" w:hAnsi="Verdana"/>
          <w:sz w:val="24"/>
          <w:szCs w:val="24"/>
        </w:rPr>
        <w:t>under the supervision of a</w:t>
      </w:r>
      <w:r w:rsidR="0088729B" w:rsidRPr="006E7076">
        <w:rPr>
          <w:rFonts w:ascii="Verdana" w:hAnsi="Verdana"/>
          <w:sz w:val="24"/>
          <w:szCs w:val="24"/>
        </w:rPr>
        <w:t xml:space="preserve"> Principal Investigat</w:t>
      </w:r>
      <w:r w:rsidR="00831837" w:rsidRPr="006E7076">
        <w:rPr>
          <w:rFonts w:ascii="Verdana" w:hAnsi="Verdana"/>
          <w:sz w:val="24"/>
          <w:szCs w:val="24"/>
        </w:rPr>
        <w:t>or</w:t>
      </w:r>
      <w:r w:rsidR="0088729B" w:rsidRPr="006E7076">
        <w:rPr>
          <w:rFonts w:ascii="Verdana" w:hAnsi="Verdana"/>
          <w:sz w:val="24"/>
          <w:szCs w:val="24"/>
        </w:rPr>
        <w:t xml:space="preserve"> within ANR</w:t>
      </w:r>
      <w:r w:rsidR="00485650" w:rsidRPr="006E7076">
        <w:rPr>
          <w:rFonts w:ascii="Verdana" w:hAnsi="Verdana"/>
          <w:sz w:val="24"/>
          <w:szCs w:val="24"/>
        </w:rPr>
        <w:t xml:space="preserve">. </w:t>
      </w:r>
      <w:r w:rsidR="009B5CA8" w:rsidRPr="006E7076">
        <w:rPr>
          <w:rFonts w:ascii="Verdana" w:hAnsi="Verdana"/>
          <w:sz w:val="24"/>
          <w:szCs w:val="24"/>
        </w:rPr>
        <w:t xml:space="preserve"> </w:t>
      </w:r>
      <w:r w:rsidR="00017110" w:rsidRPr="006E7076">
        <w:rPr>
          <w:rFonts w:ascii="Verdana" w:hAnsi="Verdana"/>
          <w:sz w:val="24"/>
          <w:szCs w:val="24"/>
        </w:rPr>
        <w:t xml:space="preserve">An appointment at the Junior Specialist level </w:t>
      </w:r>
      <w:proofErr w:type="gramStart"/>
      <w:r w:rsidR="00017110" w:rsidRPr="006E7076">
        <w:rPr>
          <w:rFonts w:ascii="Verdana" w:hAnsi="Verdana"/>
          <w:sz w:val="24"/>
          <w:szCs w:val="24"/>
        </w:rPr>
        <w:t>is not</w:t>
      </w:r>
      <w:r w:rsidR="00ED7323">
        <w:rPr>
          <w:rFonts w:ascii="Verdana" w:hAnsi="Verdana"/>
          <w:sz w:val="24"/>
          <w:szCs w:val="24"/>
        </w:rPr>
        <w:t xml:space="preserve"> </w:t>
      </w:r>
      <w:r w:rsidR="00017110" w:rsidRPr="006E7076">
        <w:rPr>
          <w:rFonts w:ascii="Verdana" w:hAnsi="Verdana"/>
          <w:sz w:val="24"/>
          <w:szCs w:val="24"/>
        </w:rPr>
        <w:t>intended</w:t>
      </w:r>
      <w:proofErr w:type="gramEnd"/>
      <w:r w:rsidR="00017110" w:rsidRPr="006E7076">
        <w:rPr>
          <w:rFonts w:ascii="Verdana" w:hAnsi="Verdana"/>
          <w:sz w:val="24"/>
          <w:szCs w:val="24"/>
        </w:rPr>
        <w:t xml:space="preserve"> to be an </w:t>
      </w:r>
      <w:r w:rsidR="002D3F80" w:rsidRPr="006E7076">
        <w:rPr>
          <w:rFonts w:ascii="Verdana" w:hAnsi="Verdana"/>
          <w:sz w:val="24"/>
          <w:szCs w:val="24"/>
        </w:rPr>
        <w:t>“entry level”</w:t>
      </w:r>
      <w:r w:rsidR="00017110" w:rsidRPr="006E7076">
        <w:rPr>
          <w:rFonts w:ascii="Verdana" w:hAnsi="Verdana"/>
          <w:sz w:val="24"/>
          <w:szCs w:val="24"/>
        </w:rPr>
        <w:t xml:space="preserve"> appointment to the assistant, associate, or full </w:t>
      </w:r>
      <w:r w:rsidR="002D3F80" w:rsidRPr="006E7076">
        <w:rPr>
          <w:rFonts w:ascii="Verdana" w:hAnsi="Verdana"/>
          <w:sz w:val="24"/>
          <w:szCs w:val="24"/>
        </w:rPr>
        <w:t>S</w:t>
      </w:r>
      <w:r w:rsidR="00017110" w:rsidRPr="006E7076">
        <w:rPr>
          <w:rFonts w:ascii="Verdana" w:hAnsi="Verdana"/>
          <w:sz w:val="24"/>
          <w:szCs w:val="24"/>
        </w:rPr>
        <w:t>pecialist ranks.</w:t>
      </w:r>
    </w:p>
    <w:p w:rsidR="00017110" w:rsidRPr="006E7076" w:rsidRDefault="00017110" w:rsidP="008A3D55">
      <w:pPr>
        <w:pStyle w:val="PlainText"/>
        <w:rPr>
          <w:rFonts w:ascii="Verdana" w:hAnsi="Verdana"/>
          <w:sz w:val="24"/>
          <w:szCs w:val="24"/>
        </w:rPr>
      </w:pPr>
    </w:p>
    <w:p w:rsidR="00980C21" w:rsidRDefault="007B68FA" w:rsidP="008A3D55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The </w:t>
      </w:r>
      <w:r w:rsidR="00647A00" w:rsidRPr="006E7076">
        <w:rPr>
          <w:rFonts w:ascii="Verdana" w:hAnsi="Verdana"/>
          <w:sz w:val="24"/>
          <w:szCs w:val="24"/>
        </w:rPr>
        <w:t xml:space="preserve">maximum </w:t>
      </w:r>
      <w:r w:rsidRPr="006E7076">
        <w:rPr>
          <w:rFonts w:ascii="Verdana" w:hAnsi="Verdana"/>
          <w:sz w:val="24"/>
          <w:szCs w:val="24"/>
        </w:rPr>
        <w:t>appointment period</w:t>
      </w:r>
      <w:r w:rsidR="00647A00" w:rsidRPr="006E7076">
        <w:rPr>
          <w:rFonts w:ascii="Verdana" w:hAnsi="Verdana"/>
          <w:sz w:val="24"/>
          <w:szCs w:val="24"/>
        </w:rPr>
        <w:t>(s)</w:t>
      </w:r>
      <w:r w:rsidRPr="006E7076">
        <w:rPr>
          <w:rFonts w:ascii="Verdana" w:hAnsi="Verdana"/>
          <w:sz w:val="24"/>
          <w:szCs w:val="24"/>
        </w:rPr>
        <w:t xml:space="preserve"> for a Junior Specialist</w:t>
      </w:r>
      <w:r w:rsidR="009D6631" w:rsidRPr="006E7076">
        <w:rPr>
          <w:rFonts w:ascii="Verdana" w:hAnsi="Verdana"/>
          <w:sz w:val="24"/>
          <w:szCs w:val="24"/>
        </w:rPr>
        <w:t xml:space="preserve"> Non-exempt </w:t>
      </w:r>
      <w:r w:rsidR="00031DDF" w:rsidRPr="006E7076">
        <w:rPr>
          <w:rFonts w:ascii="Verdana" w:hAnsi="Verdana"/>
          <w:sz w:val="24"/>
          <w:szCs w:val="24"/>
        </w:rPr>
        <w:t>can be up to</w:t>
      </w:r>
      <w:r w:rsidR="0074364B" w:rsidRPr="006E7076">
        <w:rPr>
          <w:rFonts w:ascii="Verdana" w:hAnsi="Verdana"/>
          <w:sz w:val="24"/>
          <w:szCs w:val="24"/>
        </w:rPr>
        <w:t xml:space="preserve">, but not </w:t>
      </w:r>
      <w:r w:rsidR="00647A00" w:rsidRPr="006E7076">
        <w:rPr>
          <w:rFonts w:ascii="Verdana" w:hAnsi="Verdana"/>
          <w:sz w:val="24"/>
          <w:szCs w:val="24"/>
        </w:rPr>
        <w:t xml:space="preserve">to </w:t>
      </w:r>
      <w:r w:rsidR="0074364B" w:rsidRPr="006E7076">
        <w:rPr>
          <w:rFonts w:ascii="Verdana" w:hAnsi="Verdana"/>
          <w:sz w:val="24"/>
          <w:szCs w:val="24"/>
        </w:rPr>
        <w:t>exceed,</w:t>
      </w:r>
      <w:r w:rsidRPr="006E7076">
        <w:rPr>
          <w:rFonts w:ascii="Verdana" w:hAnsi="Verdana"/>
          <w:sz w:val="24"/>
          <w:szCs w:val="24"/>
        </w:rPr>
        <w:t xml:space="preserve"> </w:t>
      </w:r>
      <w:r w:rsidR="00647A00" w:rsidRPr="006E7076">
        <w:rPr>
          <w:rFonts w:ascii="Verdana" w:hAnsi="Verdana"/>
          <w:sz w:val="24"/>
          <w:szCs w:val="24"/>
        </w:rPr>
        <w:t xml:space="preserve">a cumulative </w:t>
      </w:r>
      <w:r w:rsidR="00031DDF" w:rsidRPr="006E7076">
        <w:rPr>
          <w:rFonts w:ascii="Verdana" w:hAnsi="Verdana"/>
          <w:sz w:val="24"/>
          <w:szCs w:val="24"/>
        </w:rPr>
        <w:t>twelve months</w:t>
      </w:r>
      <w:r w:rsidR="00780E07" w:rsidRPr="006E7076">
        <w:rPr>
          <w:rFonts w:ascii="Verdana" w:hAnsi="Verdana"/>
          <w:sz w:val="24"/>
          <w:szCs w:val="24"/>
        </w:rPr>
        <w:t>. T</w:t>
      </w:r>
      <w:r w:rsidR="00031DDF" w:rsidRPr="006E7076">
        <w:rPr>
          <w:rFonts w:ascii="Verdana" w:hAnsi="Verdana"/>
          <w:sz w:val="24"/>
          <w:szCs w:val="24"/>
        </w:rPr>
        <w:t xml:space="preserve">erm appointments </w:t>
      </w:r>
      <w:r w:rsidR="00780E07" w:rsidRPr="006E7076">
        <w:rPr>
          <w:rFonts w:ascii="Verdana" w:hAnsi="Verdana"/>
          <w:sz w:val="24"/>
          <w:szCs w:val="24"/>
        </w:rPr>
        <w:t xml:space="preserve">shall coincide with approved funding only and </w:t>
      </w:r>
      <w:r w:rsidR="00980C21" w:rsidRPr="006E7076">
        <w:rPr>
          <w:rFonts w:ascii="Verdana" w:hAnsi="Verdana"/>
          <w:sz w:val="24"/>
          <w:szCs w:val="24"/>
        </w:rPr>
        <w:t>self-</w:t>
      </w:r>
      <w:r w:rsidR="00031DDF" w:rsidRPr="006E7076">
        <w:rPr>
          <w:rFonts w:ascii="Verdana" w:hAnsi="Verdana"/>
          <w:sz w:val="24"/>
          <w:szCs w:val="24"/>
        </w:rPr>
        <w:t xml:space="preserve">terminate </w:t>
      </w:r>
      <w:r w:rsidR="0074364B" w:rsidRPr="006E7076">
        <w:rPr>
          <w:rFonts w:ascii="Verdana" w:hAnsi="Verdana"/>
          <w:sz w:val="24"/>
          <w:szCs w:val="24"/>
        </w:rPr>
        <w:t>on the established</w:t>
      </w:r>
      <w:r w:rsidR="00980C21" w:rsidRPr="006E7076">
        <w:rPr>
          <w:rFonts w:ascii="Verdana" w:hAnsi="Verdana"/>
          <w:sz w:val="24"/>
          <w:szCs w:val="24"/>
        </w:rPr>
        <w:t xml:space="preserve"> end date.  </w:t>
      </w:r>
    </w:p>
    <w:p w:rsidR="00B91AAA" w:rsidRDefault="00B91AAA" w:rsidP="008A3D55">
      <w:pPr>
        <w:pStyle w:val="PlainText"/>
        <w:rPr>
          <w:rFonts w:ascii="Verdana" w:hAnsi="Verdana"/>
          <w:sz w:val="24"/>
          <w:szCs w:val="24"/>
        </w:rPr>
      </w:pPr>
    </w:p>
    <w:p w:rsidR="00B91AAA" w:rsidRDefault="00B91AAA" w:rsidP="00B91AAA">
      <w:pPr>
        <w:pStyle w:val="PlainText"/>
        <w:numPr>
          <w:ilvl w:val="0"/>
          <w:numId w:val="1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 requests for Junior Specialist appointments </w:t>
      </w:r>
      <w:proofErr w:type="gramStart"/>
      <w:r>
        <w:rPr>
          <w:rFonts w:ascii="Verdana" w:hAnsi="Verdana"/>
          <w:sz w:val="24"/>
          <w:szCs w:val="24"/>
        </w:rPr>
        <w:t>will be made to and reviewed by the Academic Human Resources (AHR) Unit.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B91AAA" w:rsidRDefault="00B91AAA" w:rsidP="00B91AAA">
      <w:pPr>
        <w:pStyle w:val="PlainText"/>
        <w:ind w:left="720"/>
        <w:rPr>
          <w:rFonts w:ascii="Verdana" w:hAnsi="Verdana"/>
          <w:sz w:val="24"/>
          <w:szCs w:val="24"/>
        </w:rPr>
      </w:pPr>
    </w:p>
    <w:p w:rsidR="00B91AAA" w:rsidRPr="006E7076" w:rsidRDefault="00B91AAA" w:rsidP="00B91AAA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Final approval authority for appointments resides with the Vice Provost of Cooperative Extension. Appointment renewals </w:t>
      </w:r>
      <w:proofErr w:type="gramStart"/>
      <w:r w:rsidRPr="006E7076">
        <w:rPr>
          <w:rFonts w:ascii="Verdana" w:hAnsi="Verdana"/>
          <w:sz w:val="24"/>
          <w:szCs w:val="24"/>
        </w:rPr>
        <w:t>may be granted</w:t>
      </w:r>
      <w:proofErr w:type="gramEnd"/>
      <w:r w:rsidRPr="006E7076">
        <w:rPr>
          <w:rFonts w:ascii="Verdana" w:hAnsi="Verdana"/>
          <w:sz w:val="24"/>
          <w:szCs w:val="24"/>
        </w:rPr>
        <w:t xml:space="preserve"> as long as total cumulative time does not exceed 12 months.</w:t>
      </w:r>
    </w:p>
    <w:p w:rsidR="00980C21" w:rsidRPr="006E7076" w:rsidRDefault="00980C21" w:rsidP="008A3D55">
      <w:pPr>
        <w:pStyle w:val="PlainText"/>
        <w:rPr>
          <w:rFonts w:ascii="Verdana" w:hAnsi="Verdana"/>
          <w:sz w:val="24"/>
          <w:szCs w:val="24"/>
        </w:rPr>
      </w:pPr>
    </w:p>
    <w:p w:rsidR="00B91AAA" w:rsidRDefault="006E39CE" w:rsidP="003E1726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E60B5A">
        <w:rPr>
          <w:rFonts w:ascii="Verdana" w:hAnsi="Verdana"/>
          <w:sz w:val="24"/>
          <w:szCs w:val="24"/>
        </w:rPr>
        <w:t>Temporary</w:t>
      </w:r>
      <w:r w:rsidR="00831837" w:rsidRPr="00E60B5A">
        <w:rPr>
          <w:rFonts w:ascii="Verdana" w:hAnsi="Verdana"/>
          <w:sz w:val="24"/>
          <w:szCs w:val="24"/>
        </w:rPr>
        <w:t xml:space="preserve"> </w:t>
      </w:r>
      <w:r w:rsidR="000F70DC" w:rsidRPr="00E60B5A">
        <w:rPr>
          <w:rFonts w:ascii="Verdana" w:hAnsi="Verdana"/>
          <w:sz w:val="24"/>
          <w:szCs w:val="24"/>
        </w:rPr>
        <w:t>appointments</w:t>
      </w:r>
      <w:r w:rsidRPr="00E60B5A">
        <w:rPr>
          <w:rFonts w:ascii="Verdana" w:hAnsi="Verdana"/>
          <w:sz w:val="24"/>
          <w:szCs w:val="24"/>
        </w:rPr>
        <w:t xml:space="preserve"> for 1-year or less </w:t>
      </w:r>
      <w:r w:rsidR="00382751" w:rsidRPr="00E60B5A">
        <w:rPr>
          <w:rFonts w:ascii="Verdana" w:hAnsi="Verdana"/>
          <w:sz w:val="24"/>
          <w:szCs w:val="24"/>
        </w:rPr>
        <w:t xml:space="preserve">do not require a search or a search </w:t>
      </w:r>
      <w:r w:rsidR="000F70DC" w:rsidRPr="00E60B5A">
        <w:rPr>
          <w:rFonts w:ascii="Verdana" w:hAnsi="Verdana"/>
          <w:sz w:val="24"/>
          <w:szCs w:val="24"/>
        </w:rPr>
        <w:t>waiver</w:t>
      </w:r>
      <w:r w:rsidR="0074364B" w:rsidRPr="00E60B5A">
        <w:rPr>
          <w:rFonts w:ascii="Verdana" w:hAnsi="Verdana"/>
          <w:sz w:val="24"/>
          <w:szCs w:val="24"/>
        </w:rPr>
        <w:t xml:space="preserve">. </w:t>
      </w:r>
      <w:r w:rsidR="00017110" w:rsidRPr="00E60B5A">
        <w:rPr>
          <w:rFonts w:ascii="Verdana" w:hAnsi="Verdana"/>
          <w:sz w:val="24"/>
          <w:szCs w:val="24"/>
        </w:rPr>
        <w:t xml:space="preserve"> </w:t>
      </w:r>
    </w:p>
    <w:p w:rsidR="00E60B5A" w:rsidRPr="00E60B5A" w:rsidRDefault="00E60B5A" w:rsidP="00E60B5A">
      <w:pPr>
        <w:pStyle w:val="PlainText"/>
        <w:rPr>
          <w:rFonts w:ascii="Verdana" w:hAnsi="Verdana"/>
          <w:sz w:val="24"/>
          <w:szCs w:val="24"/>
        </w:rPr>
      </w:pPr>
    </w:p>
    <w:p w:rsidR="00B91AAA" w:rsidRPr="006E7076" w:rsidRDefault="00B91AAA" w:rsidP="0074364B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Appointments </w:t>
      </w:r>
      <w:proofErr w:type="gramStart"/>
      <w:r>
        <w:rPr>
          <w:rFonts w:ascii="Verdana" w:hAnsi="Verdana"/>
          <w:sz w:val="24"/>
          <w:szCs w:val="24"/>
        </w:rPr>
        <w:t>may be made</w:t>
      </w:r>
      <w:proofErr w:type="gramEnd"/>
      <w:r>
        <w:rPr>
          <w:rFonts w:ascii="Verdana" w:hAnsi="Verdana"/>
          <w:sz w:val="24"/>
          <w:szCs w:val="24"/>
        </w:rPr>
        <w:t xml:space="preserve"> with or without salary.</w:t>
      </w:r>
    </w:p>
    <w:p w:rsidR="00017110" w:rsidRPr="006E7076" w:rsidRDefault="00017110" w:rsidP="00017110">
      <w:pPr>
        <w:pStyle w:val="PlainText"/>
        <w:ind w:left="720"/>
        <w:rPr>
          <w:rFonts w:ascii="Verdana" w:hAnsi="Verdana"/>
          <w:sz w:val="24"/>
          <w:szCs w:val="24"/>
        </w:rPr>
      </w:pPr>
    </w:p>
    <w:p w:rsidR="00780E07" w:rsidRPr="006E7076" w:rsidRDefault="00780E07" w:rsidP="004D3B8A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Approved </w:t>
      </w:r>
      <w:r w:rsidR="0072479B" w:rsidRPr="006E7076">
        <w:rPr>
          <w:rFonts w:ascii="Verdana" w:hAnsi="Verdana"/>
          <w:sz w:val="24"/>
          <w:szCs w:val="24"/>
        </w:rPr>
        <w:t>salary</w:t>
      </w:r>
      <w:r w:rsidR="00513E0E" w:rsidRPr="006E7076">
        <w:rPr>
          <w:rFonts w:ascii="Verdana" w:hAnsi="Verdana"/>
          <w:sz w:val="24"/>
          <w:szCs w:val="24"/>
        </w:rPr>
        <w:t xml:space="preserve"> </w:t>
      </w:r>
      <w:r w:rsidR="0072479B" w:rsidRPr="006E7076">
        <w:rPr>
          <w:rFonts w:ascii="Verdana" w:hAnsi="Verdana"/>
          <w:sz w:val="24"/>
          <w:szCs w:val="24"/>
        </w:rPr>
        <w:t>is</w:t>
      </w:r>
      <w:r w:rsidR="00513E0E" w:rsidRPr="006E7076">
        <w:rPr>
          <w:rFonts w:ascii="Verdana" w:hAnsi="Verdana"/>
          <w:sz w:val="24"/>
          <w:szCs w:val="24"/>
        </w:rPr>
        <w:t xml:space="preserve"> in accordance with </w:t>
      </w:r>
      <w:r w:rsidRPr="006E7076">
        <w:rPr>
          <w:rFonts w:ascii="Verdana" w:hAnsi="Verdana"/>
          <w:sz w:val="24"/>
          <w:szCs w:val="24"/>
        </w:rPr>
        <w:t xml:space="preserve">the </w:t>
      </w:r>
      <w:r w:rsidR="00D241EC" w:rsidRPr="006E7076">
        <w:rPr>
          <w:rFonts w:ascii="Verdana" w:hAnsi="Verdana"/>
          <w:sz w:val="24"/>
          <w:szCs w:val="24"/>
        </w:rPr>
        <w:t xml:space="preserve">Step 1, </w:t>
      </w:r>
      <w:proofErr w:type="gramStart"/>
      <w:r w:rsidRPr="006E7076">
        <w:rPr>
          <w:rFonts w:ascii="Verdana" w:hAnsi="Verdana"/>
          <w:sz w:val="24"/>
          <w:szCs w:val="24"/>
        </w:rPr>
        <w:t>fiscal-year</w:t>
      </w:r>
      <w:proofErr w:type="gramEnd"/>
      <w:r w:rsidRPr="006E7076">
        <w:rPr>
          <w:rFonts w:ascii="Verdana" w:hAnsi="Verdana"/>
          <w:sz w:val="24"/>
          <w:szCs w:val="24"/>
        </w:rPr>
        <w:t xml:space="preserve"> </w:t>
      </w:r>
      <w:r w:rsidR="008172D5" w:rsidRPr="006E7076">
        <w:rPr>
          <w:rFonts w:ascii="Verdana" w:hAnsi="Verdana"/>
          <w:sz w:val="24"/>
          <w:szCs w:val="24"/>
        </w:rPr>
        <w:t>S</w:t>
      </w:r>
      <w:r w:rsidR="00513E0E" w:rsidRPr="006E7076">
        <w:rPr>
          <w:rFonts w:ascii="Verdana" w:hAnsi="Verdana"/>
          <w:sz w:val="24"/>
          <w:szCs w:val="24"/>
        </w:rPr>
        <w:t xml:space="preserve">alary </w:t>
      </w:r>
      <w:r w:rsidR="008172D5" w:rsidRPr="006E7076">
        <w:rPr>
          <w:rFonts w:ascii="Verdana" w:hAnsi="Verdana"/>
          <w:sz w:val="24"/>
          <w:szCs w:val="24"/>
        </w:rPr>
        <w:t>Table 24</w:t>
      </w:r>
      <w:r w:rsidR="00211075">
        <w:rPr>
          <w:rFonts w:ascii="Verdana" w:hAnsi="Verdana"/>
          <w:sz w:val="24"/>
          <w:szCs w:val="24"/>
        </w:rPr>
        <w:t>n (Non-exempt)</w:t>
      </w:r>
      <w:r w:rsidR="00066CAF" w:rsidRPr="006E7076">
        <w:rPr>
          <w:rFonts w:ascii="Verdana" w:hAnsi="Verdana"/>
          <w:sz w:val="24"/>
          <w:szCs w:val="24"/>
        </w:rPr>
        <w:t xml:space="preserve">. </w:t>
      </w:r>
      <w:r w:rsidRPr="006E7076">
        <w:rPr>
          <w:rFonts w:ascii="Verdana" w:hAnsi="Verdana"/>
          <w:sz w:val="24"/>
          <w:szCs w:val="24"/>
        </w:rPr>
        <w:t xml:space="preserve">Off-scale salaries </w:t>
      </w:r>
      <w:proofErr w:type="gramStart"/>
      <w:r w:rsidR="007360D4" w:rsidRPr="006E7076">
        <w:rPr>
          <w:rFonts w:ascii="Verdana" w:hAnsi="Verdana"/>
          <w:sz w:val="24"/>
          <w:szCs w:val="24"/>
        </w:rPr>
        <w:t>shall not be applied</w:t>
      </w:r>
      <w:proofErr w:type="gramEnd"/>
      <w:r w:rsidR="007360D4" w:rsidRPr="006E7076">
        <w:rPr>
          <w:rFonts w:ascii="Verdana" w:hAnsi="Verdana"/>
          <w:sz w:val="24"/>
          <w:szCs w:val="24"/>
        </w:rPr>
        <w:t>.</w:t>
      </w:r>
    </w:p>
    <w:p w:rsidR="001A318F" w:rsidRPr="006E7076" w:rsidRDefault="001A318F" w:rsidP="001A318F">
      <w:pPr>
        <w:pStyle w:val="ListParagraph"/>
        <w:spacing w:after="0"/>
        <w:rPr>
          <w:rFonts w:ascii="Verdana" w:hAnsi="Verdana"/>
          <w:sz w:val="24"/>
          <w:szCs w:val="24"/>
        </w:rPr>
      </w:pPr>
    </w:p>
    <w:p w:rsidR="007360D4" w:rsidRPr="006E7076" w:rsidRDefault="00AE1DD2" w:rsidP="004D3B8A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If a potential appointee shall require a visa for employment purposes, it will take approximately 3-4 months to process a visa application through the UCD </w:t>
      </w:r>
      <w:r w:rsidR="00B91AAA">
        <w:rPr>
          <w:rFonts w:ascii="Verdana" w:hAnsi="Verdana"/>
          <w:sz w:val="24"/>
          <w:szCs w:val="24"/>
        </w:rPr>
        <w:t>Services for International Students and Scholars (</w:t>
      </w:r>
      <w:r w:rsidRPr="006E7076">
        <w:rPr>
          <w:rFonts w:ascii="Verdana" w:hAnsi="Verdana"/>
          <w:sz w:val="24"/>
          <w:szCs w:val="24"/>
        </w:rPr>
        <w:t>SISS</w:t>
      </w:r>
      <w:r w:rsidR="00B91AAA">
        <w:rPr>
          <w:rFonts w:ascii="Verdana" w:hAnsi="Verdana"/>
          <w:sz w:val="24"/>
          <w:szCs w:val="24"/>
        </w:rPr>
        <w:t>)</w:t>
      </w:r>
      <w:r w:rsidRPr="006E7076">
        <w:rPr>
          <w:rFonts w:ascii="Verdana" w:hAnsi="Verdana"/>
          <w:sz w:val="24"/>
          <w:szCs w:val="24"/>
        </w:rPr>
        <w:t xml:space="preserve"> Office. As a result, adequate advance notice is required to start an appointment. </w:t>
      </w:r>
      <w:r w:rsidR="007360D4" w:rsidRPr="006E7076">
        <w:rPr>
          <w:rFonts w:ascii="Verdana" w:hAnsi="Verdana"/>
          <w:sz w:val="24"/>
          <w:szCs w:val="24"/>
        </w:rPr>
        <w:t>For a</w:t>
      </w:r>
      <w:r w:rsidRPr="006E7076">
        <w:rPr>
          <w:rFonts w:ascii="Verdana" w:hAnsi="Verdana"/>
          <w:sz w:val="24"/>
          <w:szCs w:val="24"/>
        </w:rPr>
        <w:t>ny</w:t>
      </w:r>
      <w:r w:rsidR="00A64031" w:rsidRPr="006E7076">
        <w:rPr>
          <w:rFonts w:ascii="Verdana" w:hAnsi="Verdana"/>
          <w:sz w:val="24"/>
          <w:szCs w:val="24"/>
        </w:rPr>
        <w:t xml:space="preserve"> international appointee</w:t>
      </w:r>
      <w:r w:rsidRPr="006E7076">
        <w:rPr>
          <w:rFonts w:ascii="Verdana" w:hAnsi="Verdana"/>
          <w:sz w:val="24"/>
          <w:szCs w:val="24"/>
        </w:rPr>
        <w:t xml:space="preserve"> questions, please contact Karen Ellsworth.</w:t>
      </w:r>
    </w:p>
    <w:p w:rsidR="00CC18AB" w:rsidRPr="006E7076" w:rsidRDefault="00AE1DD2" w:rsidP="00B91AA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  </w:t>
      </w:r>
    </w:p>
    <w:p w:rsidR="00CC18AB" w:rsidRPr="006E7076" w:rsidRDefault="00CC18AB" w:rsidP="004D3B8A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A</w:t>
      </w:r>
      <w:r w:rsidR="008A4762" w:rsidRPr="006E7076">
        <w:rPr>
          <w:rFonts w:ascii="Verdana" w:hAnsi="Verdana"/>
          <w:sz w:val="24"/>
          <w:szCs w:val="24"/>
        </w:rPr>
        <w:t>ppointees may</w:t>
      </w:r>
      <w:r w:rsidRPr="006E7076">
        <w:rPr>
          <w:rFonts w:ascii="Verdana" w:hAnsi="Verdana"/>
          <w:sz w:val="24"/>
          <w:szCs w:val="24"/>
        </w:rPr>
        <w:t xml:space="preserve"> accrue sick leave credit and vacation credit in accordance with University policy and ANR procedures. </w:t>
      </w:r>
    </w:p>
    <w:p w:rsidR="00CC18AB" w:rsidRPr="006E7076" w:rsidRDefault="00CC18AB" w:rsidP="00CC18AB">
      <w:pPr>
        <w:pStyle w:val="ListParagraph"/>
        <w:spacing w:after="0"/>
        <w:rPr>
          <w:rFonts w:ascii="Verdana" w:hAnsi="Verdana"/>
          <w:sz w:val="24"/>
          <w:szCs w:val="24"/>
        </w:rPr>
      </w:pPr>
    </w:p>
    <w:p w:rsidR="00CC18AB" w:rsidRPr="006E7076" w:rsidRDefault="00CC18AB" w:rsidP="004D3B8A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Appointees are not eligible for sabbatical leave privileges or Principal Investigator (PI) status.</w:t>
      </w:r>
    </w:p>
    <w:p w:rsidR="00CC18AB" w:rsidRPr="006E7076" w:rsidRDefault="00CC18AB" w:rsidP="00CC18AB">
      <w:pPr>
        <w:pStyle w:val="ListParagraph"/>
        <w:spacing w:after="0"/>
        <w:rPr>
          <w:rFonts w:ascii="Verdana" w:hAnsi="Verdana"/>
          <w:sz w:val="24"/>
          <w:szCs w:val="24"/>
        </w:rPr>
      </w:pPr>
    </w:p>
    <w:p w:rsidR="00CC18AB" w:rsidRPr="006E7076" w:rsidRDefault="008A4762" w:rsidP="004D3B8A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Appointments </w:t>
      </w:r>
      <w:proofErr w:type="gramStart"/>
      <w:r w:rsidRPr="006E7076">
        <w:rPr>
          <w:rFonts w:ascii="Verdana" w:hAnsi="Verdana"/>
          <w:sz w:val="24"/>
          <w:szCs w:val="24"/>
        </w:rPr>
        <w:t xml:space="preserve">cannot </w:t>
      </w:r>
      <w:r w:rsidR="00647A00" w:rsidRPr="006E7076">
        <w:rPr>
          <w:rFonts w:ascii="Verdana" w:hAnsi="Verdana"/>
          <w:sz w:val="24"/>
          <w:szCs w:val="24"/>
        </w:rPr>
        <w:t>involuntarily</w:t>
      </w:r>
      <w:r w:rsidRPr="006E7076">
        <w:rPr>
          <w:rFonts w:ascii="Verdana" w:hAnsi="Verdana"/>
          <w:sz w:val="24"/>
          <w:szCs w:val="24"/>
        </w:rPr>
        <w:t xml:space="preserve"> be</w:t>
      </w:r>
      <w:r w:rsidR="00647A00" w:rsidRPr="006E7076">
        <w:rPr>
          <w:rFonts w:ascii="Verdana" w:hAnsi="Verdana"/>
          <w:sz w:val="24"/>
          <w:szCs w:val="24"/>
        </w:rPr>
        <w:t xml:space="preserve"> </w:t>
      </w:r>
      <w:r w:rsidR="00CC18AB" w:rsidRPr="006E7076">
        <w:rPr>
          <w:rFonts w:ascii="Verdana" w:hAnsi="Verdana"/>
          <w:sz w:val="24"/>
          <w:szCs w:val="24"/>
        </w:rPr>
        <w:t xml:space="preserve">reduced </w:t>
      </w:r>
      <w:r w:rsidR="00647A00" w:rsidRPr="006E7076">
        <w:rPr>
          <w:rFonts w:ascii="Verdana" w:hAnsi="Verdana"/>
          <w:sz w:val="24"/>
          <w:szCs w:val="24"/>
        </w:rPr>
        <w:t xml:space="preserve">in time or terminated early without a </w:t>
      </w:r>
      <w:r w:rsidR="00647A00" w:rsidRPr="006E7076">
        <w:rPr>
          <w:rFonts w:ascii="Verdana" w:hAnsi="Verdana"/>
          <w:b/>
          <w:sz w:val="24"/>
          <w:szCs w:val="24"/>
        </w:rPr>
        <w:t>90-day</w:t>
      </w:r>
      <w:r w:rsidR="00647A00" w:rsidRPr="006E7076">
        <w:rPr>
          <w:rFonts w:ascii="Verdana" w:hAnsi="Verdana"/>
          <w:sz w:val="24"/>
          <w:szCs w:val="24"/>
        </w:rPr>
        <w:t xml:space="preserve"> written notice to the appointee</w:t>
      </w:r>
      <w:proofErr w:type="gramEnd"/>
      <w:r w:rsidR="00647A00" w:rsidRPr="006E7076">
        <w:rPr>
          <w:rFonts w:ascii="Verdana" w:hAnsi="Verdana"/>
          <w:sz w:val="24"/>
          <w:szCs w:val="24"/>
        </w:rPr>
        <w:t xml:space="preserve">. </w:t>
      </w:r>
      <w:r w:rsidR="00D75D05" w:rsidRPr="006E7076">
        <w:rPr>
          <w:rFonts w:ascii="Verdana" w:hAnsi="Verdana"/>
          <w:sz w:val="24"/>
          <w:szCs w:val="24"/>
        </w:rPr>
        <w:t xml:space="preserve"> These actions are subject to ANR layoff procedures and University policy and </w:t>
      </w:r>
      <w:proofErr w:type="gramStart"/>
      <w:r w:rsidR="00D75D05" w:rsidRPr="006E7076">
        <w:rPr>
          <w:rFonts w:ascii="Verdana" w:hAnsi="Verdana"/>
          <w:sz w:val="24"/>
          <w:szCs w:val="24"/>
        </w:rPr>
        <w:t>must be reviewed</w:t>
      </w:r>
      <w:proofErr w:type="gramEnd"/>
      <w:r w:rsidR="00D75D05" w:rsidRPr="006E7076">
        <w:rPr>
          <w:rFonts w:ascii="Verdana" w:hAnsi="Verdana"/>
          <w:sz w:val="24"/>
          <w:szCs w:val="24"/>
        </w:rPr>
        <w:t xml:space="preserve"> by the </w:t>
      </w:r>
      <w:r w:rsidR="006B2C47" w:rsidRPr="006E7076">
        <w:rPr>
          <w:rFonts w:ascii="Verdana" w:hAnsi="Verdana"/>
          <w:sz w:val="24"/>
          <w:szCs w:val="24"/>
        </w:rPr>
        <w:t>AHR</w:t>
      </w:r>
      <w:r w:rsidR="00D75D05" w:rsidRPr="006E7076">
        <w:rPr>
          <w:rFonts w:ascii="Verdana" w:hAnsi="Verdana"/>
          <w:sz w:val="24"/>
          <w:szCs w:val="24"/>
        </w:rPr>
        <w:t xml:space="preserve"> Unit prior to </w:t>
      </w:r>
      <w:r w:rsidRPr="006E7076">
        <w:rPr>
          <w:rFonts w:ascii="Verdana" w:hAnsi="Verdana"/>
          <w:sz w:val="24"/>
          <w:szCs w:val="24"/>
        </w:rPr>
        <w:t xml:space="preserve">issuing a </w:t>
      </w:r>
      <w:r w:rsidR="00D75D05" w:rsidRPr="006E7076">
        <w:rPr>
          <w:rFonts w:ascii="Verdana" w:hAnsi="Verdana"/>
          <w:sz w:val="24"/>
          <w:szCs w:val="24"/>
        </w:rPr>
        <w:t xml:space="preserve">notice. </w:t>
      </w:r>
    </w:p>
    <w:p w:rsidR="00A64031" w:rsidRPr="006E7076" w:rsidRDefault="00A64031" w:rsidP="00A64031">
      <w:pPr>
        <w:pStyle w:val="PlainText"/>
        <w:rPr>
          <w:rFonts w:ascii="Verdana" w:hAnsi="Verdana"/>
          <w:sz w:val="24"/>
          <w:szCs w:val="24"/>
        </w:rPr>
      </w:pPr>
    </w:p>
    <w:p w:rsidR="00E623D9" w:rsidRPr="006E7076" w:rsidRDefault="00201807" w:rsidP="004D3B8A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proofErr w:type="gramStart"/>
      <w:r w:rsidRPr="006E7076">
        <w:rPr>
          <w:rFonts w:ascii="Verdana" w:hAnsi="Verdana"/>
          <w:sz w:val="24"/>
          <w:szCs w:val="24"/>
        </w:rPr>
        <w:t xml:space="preserve">The </w:t>
      </w:r>
      <w:r w:rsidR="00E623D9" w:rsidRPr="006E7076">
        <w:rPr>
          <w:rFonts w:ascii="Verdana" w:hAnsi="Verdana"/>
          <w:sz w:val="24"/>
          <w:szCs w:val="24"/>
        </w:rPr>
        <w:t>J</w:t>
      </w:r>
      <w:r w:rsidR="00A37D51" w:rsidRPr="006E7076">
        <w:rPr>
          <w:rFonts w:ascii="Verdana" w:hAnsi="Verdana"/>
          <w:sz w:val="24"/>
          <w:szCs w:val="24"/>
        </w:rPr>
        <w:t>unior</w:t>
      </w:r>
      <w:r w:rsidR="00E623D9" w:rsidRPr="006E7076">
        <w:rPr>
          <w:rFonts w:ascii="Verdana" w:hAnsi="Verdana"/>
          <w:sz w:val="24"/>
          <w:szCs w:val="24"/>
        </w:rPr>
        <w:t xml:space="preserve"> Specialist</w:t>
      </w:r>
      <w:r w:rsidR="00A37D51" w:rsidRPr="006E7076">
        <w:rPr>
          <w:rFonts w:ascii="Verdana" w:hAnsi="Verdana"/>
          <w:sz w:val="24"/>
          <w:szCs w:val="24"/>
        </w:rPr>
        <w:t xml:space="preserve"> NEX</w:t>
      </w:r>
      <w:r w:rsidR="00E623D9" w:rsidRPr="006E7076">
        <w:rPr>
          <w:rFonts w:ascii="Verdana" w:hAnsi="Verdana"/>
          <w:sz w:val="24"/>
          <w:szCs w:val="24"/>
        </w:rPr>
        <w:t xml:space="preserve"> </w:t>
      </w:r>
      <w:r w:rsidR="00A37D51" w:rsidRPr="006E7076">
        <w:rPr>
          <w:rFonts w:ascii="Verdana" w:hAnsi="Verdana"/>
          <w:sz w:val="24"/>
          <w:szCs w:val="24"/>
        </w:rPr>
        <w:t>(</w:t>
      </w:r>
      <w:r w:rsidR="009D6631" w:rsidRPr="006E7076">
        <w:rPr>
          <w:rFonts w:ascii="Verdana" w:hAnsi="Verdana"/>
          <w:sz w:val="24"/>
          <w:szCs w:val="24"/>
        </w:rPr>
        <w:t>Non-exempt</w:t>
      </w:r>
      <w:r w:rsidR="00A37D51" w:rsidRPr="006E7076">
        <w:rPr>
          <w:rFonts w:ascii="Verdana" w:hAnsi="Verdana"/>
          <w:sz w:val="24"/>
          <w:szCs w:val="24"/>
        </w:rPr>
        <w:t>)</w:t>
      </w:r>
      <w:r w:rsidR="007360D4" w:rsidRPr="006E7076">
        <w:rPr>
          <w:rFonts w:ascii="Verdana" w:hAnsi="Verdana"/>
          <w:sz w:val="24"/>
          <w:szCs w:val="24"/>
        </w:rPr>
        <w:t xml:space="preserve"> </w:t>
      </w:r>
      <w:r w:rsidR="00E623D9" w:rsidRPr="006E7076">
        <w:rPr>
          <w:rFonts w:ascii="Verdana" w:hAnsi="Verdana"/>
          <w:sz w:val="24"/>
          <w:szCs w:val="24"/>
        </w:rPr>
        <w:t>appointment request shall be reviewed by ANR Labor Relations Coordinator, Robert Martinez,</w:t>
      </w:r>
      <w:proofErr w:type="gramEnd"/>
      <w:r w:rsidR="00E623D9" w:rsidRPr="006E7076">
        <w:rPr>
          <w:rFonts w:ascii="Verdana" w:hAnsi="Verdana"/>
          <w:sz w:val="24"/>
          <w:szCs w:val="24"/>
        </w:rPr>
        <w:t xml:space="preserve"> if the appointee is currently employed in an ANR staff position.  </w:t>
      </w:r>
      <w:r w:rsidR="00E623D9" w:rsidRPr="006E7076">
        <w:rPr>
          <w:rFonts w:ascii="Verdana" w:hAnsi="Verdana"/>
          <w:caps/>
          <w:sz w:val="24"/>
          <w:szCs w:val="24"/>
        </w:rPr>
        <w:t xml:space="preserve"> </w:t>
      </w:r>
    </w:p>
    <w:p w:rsidR="004D3B8A" w:rsidRPr="006E7076" w:rsidRDefault="004D3B8A" w:rsidP="00CC18AB">
      <w:pPr>
        <w:pStyle w:val="Heading1"/>
        <w:rPr>
          <w:rStyle w:val="IntenseReference"/>
          <w:rFonts w:ascii="Verdana" w:hAnsi="Verdana"/>
          <w:color w:val="auto"/>
          <w:sz w:val="24"/>
          <w:szCs w:val="24"/>
        </w:rPr>
      </w:pPr>
      <w:r w:rsidRPr="006E7076">
        <w:rPr>
          <w:rStyle w:val="IntenseReference"/>
          <w:rFonts w:ascii="Verdana" w:hAnsi="Verdana"/>
          <w:color w:val="auto"/>
          <w:sz w:val="24"/>
          <w:szCs w:val="24"/>
        </w:rPr>
        <w:t xml:space="preserve">appointment criteria </w:t>
      </w:r>
    </w:p>
    <w:p w:rsidR="000F70DC" w:rsidRPr="006E7076" w:rsidRDefault="000F70DC" w:rsidP="00780E07">
      <w:pPr>
        <w:pStyle w:val="ListParagraph"/>
        <w:spacing w:after="0"/>
        <w:rPr>
          <w:rFonts w:ascii="Verdana" w:hAnsi="Verdana"/>
          <w:sz w:val="24"/>
          <w:szCs w:val="24"/>
        </w:rPr>
      </w:pPr>
    </w:p>
    <w:p w:rsidR="000F0F4E" w:rsidRPr="006E7076" w:rsidRDefault="007B68FA" w:rsidP="00031DDF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Individuals</w:t>
      </w:r>
      <w:r w:rsidR="002C4BFC" w:rsidRPr="006E7076">
        <w:rPr>
          <w:rFonts w:ascii="Verdana" w:hAnsi="Verdana"/>
          <w:sz w:val="24"/>
          <w:szCs w:val="24"/>
        </w:rPr>
        <w:t xml:space="preserve"> appointed to this title</w:t>
      </w:r>
      <w:r w:rsidRPr="006E7076">
        <w:rPr>
          <w:rFonts w:ascii="Verdana" w:hAnsi="Verdana"/>
          <w:sz w:val="24"/>
          <w:szCs w:val="24"/>
        </w:rPr>
        <w:t xml:space="preserve"> must have earned a</w:t>
      </w:r>
      <w:r w:rsidR="00B91AAA">
        <w:rPr>
          <w:rFonts w:ascii="Verdana" w:hAnsi="Verdana"/>
          <w:sz w:val="24"/>
          <w:szCs w:val="24"/>
        </w:rPr>
        <w:t>t least a</w:t>
      </w:r>
      <w:r w:rsidRPr="006E7076">
        <w:rPr>
          <w:rFonts w:ascii="Verdana" w:hAnsi="Verdana"/>
          <w:sz w:val="24"/>
          <w:szCs w:val="24"/>
        </w:rPr>
        <w:t xml:space="preserve"> bachelor’s degree. </w:t>
      </w:r>
    </w:p>
    <w:p w:rsidR="0074364B" w:rsidRPr="006E7076" w:rsidRDefault="0074364B" w:rsidP="0074364B">
      <w:pPr>
        <w:pStyle w:val="PlainText"/>
        <w:ind w:left="720"/>
        <w:rPr>
          <w:rFonts w:ascii="Verdana" w:hAnsi="Verdana"/>
          <w:sz w:val="24"/>
          <w:szCs w:val="24"/>
        </w:rPr>
      </w:pPr>
    </w:p>
    <w:p w:rsidR="004D3B8A" w:rsidRPr="006E7076" w:rsidRDefault="007360D4" w:rsidP="00031DDF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Individuals must p</w:t>
      </w:r>
      <w:r w:rsidR="004D3B8A" w:rsidRPr="006E7076">
        <w:rPr>
          <w:rFonts w:ascii="Verdana" w:hAnsi="Verdana"/>
          <w:sz w:val="24"/>
          <w:szCs w:val="24"/>
        </w:rPr>
        <w:t xml:space="preserve">ossess technical </w:t>
      </w:r>
      <w:r w:rsidR="00066CAF" w:rsidRPr="006E7076">
        <w:rPr>
          <w:rFonts w:ascii="Verdana" w:hAnsi="Verdana"/>
          <w:sz w:val="24"/>
          <w:szCs w:val="24"/>
        </w:rPr>
        <w:t>knowledge</w:t>
      </w:r>
      <w:r w:rsidR="004D3B8A" w:rsidRPr="006E7076">
        <w:rPr>
          <w:rFonts w:ascii="Verdana" w:hAnsi="Verdana"/>
          <w:sz w:val="24"/>
          <w:szCs w:val="24"/>
        </w:rPr>
        <w:t xml:space="preserve"> or experience in specialized area of research</w:t>
      </w:r>
      <w:r w:rsidR="00066CAF" w:rsidRPr="006E7076">
        <w:rPr>
          <w:rFonts w:ascii="Verdana" w:hAnsi="Verdana"/>
          <w:sz w:val="24"/>
          <w:szCs w:val="24"/>
        </w:rPr>
        <w:t>.</w:t>
      </w:r>
    </w:p>
    <w:p w:rsidR="004D3B8A" w:rsidRPr="006E7076" w:rsidRDefault="004D3B8A" w:rsidP="004D3B8A">
      <w:pPr>
        <w:pStyle w:val="ListParagraph"/>
        <w:spacing w:after="0"/>
        <w:rPr>
          <w:rFonts w:ascii="Verdana" w:hAnsi="Verdana"/>
          <w:sz w:val="24"/>
          <w:szCs w:val="24"/>
        </w:rPr>
      </w:pPr>
    </w:p>
    <w:p w:rsidR="0074364B" w:rsidRPr="006E7076" w:rsidRDefault="007360D4" w:rsidP="00031DDF">
      <w:pPr>
        <w:pStyle w:val="PlainText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The hiring unit must d</w:t>
      </w:r>
      <w:r w:rsidR="00066CAF" w:rsidRPr="006E7076">
        <w:rPr>
          <w:rFonts w:ascii="Verdana" w:hAnsi="Verdana"/>
          <w:sz w:val="24"/>
          <w:szCs w:val="24"/>
        </w:rPr>
        <w:t>emonstrate a need for</w:t>
      </w:r>
      <w:r w:rsidRPr="006E7076">
        <w:rPr>
          <w:rFonts w:ascii="Verdana" w:hAnsi="Verdana"/>
          <w:sz w:val="24"/>
          <w:szCs w:val="24"/>
        </w:rPr>
        <w:t xml:space="preserve"> prospective appointee’s</w:t>
      </w:r>
      <w:r w:rsidR="00066CAF" w:rsidRPr="006E7076">
        <w:rPr>
          <w:rFonts w:ascii="Verdana" w:hAnsi="Verdana"/>
          <w:sz w:val="24"/>
          <w:szCs w:val="24"/>
        </w:rPr>
        <w:t xml:space="preserve"> expertise in the</w:t>
      </w:r>
      <w:r w:rsidRPr="006E7076">
        <w:rPr>
          <w:rFonts w:ascii="Verdana" w:hAnsi="Verdana"/>
          <w:sz w:val="24"/>
          <w:szCs w:val="24"/>
        </w:rPr>
        <w:t xml:space="preserve">ir </w:t>
      </w:r>
      <w:r w:rsidR="00066CAF" w:rsidRPr="006E7076">
        <w:rPr>
          <w:rFonts w:ascii="Verdana" w:hAnsi="Verdana"/>
          <w:sz w:val="24"/>
          <w:szCs w:val="24"/>
        </w:rPr>
        <w:t>ANR unit.</w:t>
      </w:r>
    </w:p>
    <w:p w:rsidR="005F1F2E" w:rsidRPr="006E7076" w:rsidRDefault="005F1F2E" w:rsidP="005F1F2E">
      <w:pPr>
        <w:pStyle w:val="PlainText"/>
        <w:ind w:left="720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i/>
          <w:sz w:val="24"/>
          <w:szCs w:val="24"/>
          <w:u w:val="single"/>
        </w:rPr>
      </w:pPr>
      <w:r w:rsidRPr="006E7076">
        <w:rPr>
          <w:rFonts w:ascii="Verdana" w:hAnsi="Verdana"/>
          <w:b/>
          <w:i/>
          <w:sz w:val="24"/>
          <w:szCs w:val="24"/>
          <w:u w:val="single"/>
        </w:rPr>
        <w:t>Frequently Asked Questions:</w:t>
      </w:r>
    </w:p>
    <w:p w:rsidR="00D83EBA" w:rsidRPr="006E7076" w:rsidRDefault="00D83EBA" w:rsidP="00D83EBA">
      <w:pPr>
        <w:pStyle w:val="PlainText"/>
        <w:rPr>
          <w:rFonts w:ascii="Verdana" w:hAnsi="Verdana"/>
          <w:b/>
          <w:sz w:val="24"/>
          <w:szCs w:val="24"/>
          <w:u w:val="single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i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 xml:space="preserve">Will these appointments have merits? 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No</w:t>
      </w:r>
      <w:r w:rsidR="00A37D51" w:rsidRPr="006E7076">
        <w:rPr>
          <w:rFonts w:ascii="Verdana" w:hAnsi="Verdana"/>
          <w:sz w:val="24"/>
          <w:szCs w:val="24"/>
        </w:rPr>
        <w:t>. A</w:t>
      </w:r>
      <w:r w:rsidRPr="006E7076">
        <w:rPr>
          <w:rFonts w:ascii="Verdana" w:hAnsi="Verdana"/>
          <w:sz w:val="24"/>
          <w:szCs w:val="24"/>
        </w:rPr>
        <w:t xml:space="preserve">ppointments are only for one year or less. 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 xml:space="preserve">What </w:t>
      </w:r>
      <w:r w:rsidR="007360D4" w:rsidRPr="006E7076">
        <w:rPr>
          <w:rFonts w:ascii="Verdana" w:hAnsi="Verdana"/>
          <w:b/>
          <w:i/>
          <w:sz w:val="24"/>
          <w:szCs w:val="24"/>
        </w:rPr>
        <w:t xml:space="preserve">is </w:t>
      </w:r>
      <w:r w:rsidRPr="006E7076">
        <w:rPr>
          <w:rFonts w:ascii="Verdana" w:hAnsi="Verdana"/>
          <w:b/>
          <w:i/>
          <w:sz w:val="24"/>
          <w:szCs w:val="24"/>
        </w:rPr>
        <w:t>the criteria for establishing an appointment at a Junior Specialist</w:t>
      </w:r>
      <w:r w:rsidR="00A37D51" w:rsidRPr="006E7076">
        <w:rPr>
          <w:rFonts w:ascii="Verdana" w:hAnsi="Verdana"/>
          <w:b/>
          <w:i/>
          <w:sz w:val="24"/>
          <w:szCs w:val="24"/>
        </w:rPr>
        <w:t xml:space="preserve"> NEX</w:t>
      </w:r>
      <w:r w:rsidRPr="006E7076">
        <w:rPr>
          <w:rFonts w:ascii="Verdana" w:hAnsi="Verdana"/>
          <w:b/>
          <w:i/>
          <w:sz w:val="24"/>
          <w:szCs w:val="24"/>
        </w:rPr>
        <w:t>, Step 1 vs. Step 2?</w:t>
      </w:r>
      <w:r w:rsidRPr="006E7076">
        <w:rPr>
          <w:rFonts w:ascii="Verdana" w:hAnsi="Verdana"/>
          <w:b/>
          <w:sz w:val="24"/>
          <w:szCs w:val="24"/>
        </w:rPr>
        <w:t xml:space="preserve"> 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Because </w:t>
      </w:r>
      <w:r w:rsidR="00B91AAA">
        <w:rPr>
          <w:rFonts w:ascii="Verdana" w:hAnsi="Verdana"/>
          <w:sz w:val="24"/>
          <w:szCs w:val="24"/>
        </w:rPr>
        <w:t xml:space="preserve">the </w:t>
      </w:r>
      <w:r w:rsidRPr="006E7076">
        <w:rPr>
          <w:rFonts w:ascii="Verdana" w:hAnsi="Verdana"/>
          <w:sz w:val="24"/>
          <w:szCs w:val="24"/>
        </w:rPr>
        <w:t>appointment</w:t>
      </w:r>
      <w:r w:rsidR="00B91AAA">
        <w:rPr>
          <w:rFonts w:ascii="Verdana" w:hAnsi="Verdana"/>
          <w:sz w:val="24"/>
          <w:szCs w:val="24"/>
        </w:rPr>
        <w:t xml:space="preserve"> to this title is</w:t>
      </w:r>
      <w:r w:rsidRPr="006E7076">
        <w:rPr>
          <w:rFonts w:ascii="Verdana" w:hAnsi="Verdana"/>
          <w:sz w:val="24"/>
          <w:szCs w:val="24"/>
        </w:rPr>
        <w:t xml:space="preserve"> limited to a maximum of one year</w:t>
      </w:r>
      <w:r w:rsidR="00B91AAA">
        <w:rPr>
          <w:rFonts w:ascii="Verdana" w:hAnsi="Verdana"/>
          <w:sz w:val="24"/>
          <w:szCs w:val="24"/>
        </w:rPr>
        <w:t>,</w:t>
      </w:r>
      <w:r w:rsidRPr="006E7076">
        <w:rPr>
          <w:rFonts w:ascii="Verdana" w:hAnsi="Verdana"/>
          <w:sz w:val="24"/>
          <w:szCs w:val="24"/>
        </w:rPr>
        <w:t xml:space="preserve"> only Step 1 </w:t>
      </w:r>
      <w:proofErr w:type="gramStart"/>
      <w:r w:rsidRPr="006E7076">
        <w:rPr>
          <w:rFonts w:ascii="Verdana" w:hAnsi="Verdana"/>
          <w:sz w:val="24"/>
          <w:szCs w:val="24"/>
        </w:rPr>
        <w:t>is allowed</w:t>
      </w:r>
      <w:proofErr w:type="gramEnd"/>
      <w:r w:rsidRPr="006E7076">
        <w:rPr>
          <w:rFonts w:ascii="Verdana" w:hAnsi="Verdana"/>
          <w:sz w:val="24"/>
          <w:szCs w:val="24"/>
        </w:rPr>
        <w:t xml:space="preserve"> in ANR.  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i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>What is the Junior Specialist</w:t>
      </w:r>
      <w:r w:rsidR="00A37D51" w:rsidRPr="006E7076">
        <w:rPr>
          <w:rFonts w:ascii="Verdana" w:hAnsi="Verdana"/>
          <w:b/>
          <w:i/>
          <w:sz w:val="24"/>
          <w:szCs w:val="24"/>
        </w:rPr>
        <w:t xml:space="preserve"> NEX</w:t>
      </w:r>
      <w:r w:rsidRPr="006E7076">
        <w:rPr>
          <w:rFonts w:ascii="Verdana" w:hAnsi="Verdana"/>
          <w:b/>
          <w:i/>
          <w:sz w:val="24"/>
          <w:szCs w:val="24"/>
        </w:rPr>
        <w:t>, Step I, salary?</w:t>
      </w:r>
    </w:p>
    <w:p w:rsidR="00D83EBA" w:rsidRPr="006E7076" w:rsidRDefault="00F04460" w:rsidP="00D83EBA">
      <w:pPr>
        <w:pStyle w:val="PlainTex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step 1 </w:t>
      </w:r>
      <w:r w:rsidR="00D83EBA" w:rsidRPr="006E7076">
        <w:rPr>
          <w:rFonts w:ascii="Verdana" w:hAnsi="Verdana"/>
          <w:sz w:val="24"/>
          <w:szCs w:val="24"/>
        </w:rPr>
        <w:t xml:space="preserve">salary is </w:t>
      </w:r>
      <w:r w:rsidR="00742E05">
        <w:rPr>
          <w:rFonts w:ascii="Verdana" w:hAnsi="Verdana"/>
          <w:sz w:val="24"/>
          <w:szCs w:val="24"/>
        </w:rPr>
        <w:t>$1</w:t>
      </w:r>
      <w:r w:rsidR="00182BFC">
        <w:rPr>
          <w:rFonts w:ascii="Verdana" w:hAnsi="Verdana"/>
          <w:sz w:val="24"/>
          <w:szCs w:val="24"/>
        </w:rPr>
        <w:t>8.26</w:t>
      </w:r>
      <w:r>
        <w:rPr>
          <w:rFonts w:ascii="Verdana" w:hAnsi="Verdana"/>
          <w:sz w:val="24"/>
          <w:szCs w:val="24"/>
        </w:rPr>
        <w:t>/hour per the July 1</w:t>
      </w:r>
      <w:proofErr w:type="gramStart"/>
      <w:r>
        <w:rPr>
          <w:rFonts w:ascii="Verdana" w:hAnsi="Verdana"/>
          <w:sz w:val="24"/>
          <w:szCs w:val="24"/>
        </w:rPr>
        <w:t>,2017</w:t>
      </w:r>
      <w:proofErr w:type="gramEnd"/>
      <w:r>
        <w:rPr>
          <w:rFonts w:ascii="Verdana" w:hAnsi="Verdana"/>
          <w:sz w:val="24"/>
          <w:szCs w:val="24"/>
        </w:rPr>
        <w:t xml:space="preserve"> salary table 24n. </w:t>
      </w:r>
    </w:p>
    <w:p w:rsidR="00D241EC" w:rsidRPr="006E7076" w:rsidRDefault="00D241EC" w:rsidP="00D83EBA">
      <w:pPr>
        <w:pStyle w:val="PlainText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 xml:space="preserve">Are these appointments limited to graduate students or individuals without a Ph.D.? </w:t>
      </w:r>
      <w:r w:rsidRPr="006E7076">
        <w:rPr>
          <w:rFonts w:ascii="Verdana" w:hAnsi="Verdana"/>
          <w:b/>
          <w:sz w:val="24"/>
          <w:szCs w:val="24"/>
        </w:rPr>
        <w:t xml:space="preserve"> </w:t>
      </w:r>
    </w:p>
    <w:p w:rsidR="00C9787F" w:rsidRDefault="00D83EBA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These appointments are open to individuals who have earned at least a Bachelor’s degree.</w:t>
      </w:r>
    </w:p>
    <w:p w:rsidR="00C9787F" w:rsidRDefault="00C9787F" w:rsidP="00C9787F">
      <w:pPr>
        <w:rPr>
          <w:rFonts w:cs="Consolas"/>
        </w:rPr>
      </w:pPr>
      <w:r>
        <w:br w:type="page"/>
      </w:r>
    </w:p>
    <w:p w:rsidR="00D83EBA" w:rsidRPr="006E7076" w:rsidRDefault="00D83EBA" w:rsidP="00D83EBA">
      <w:pPr>
        <w:pStyle w:val="PlainText"/>
        <w:rPr>
          <w:rFonts w:ascii="Verdana" w:hAnsi="Verdana"/>
          <w:b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lastRenderedPageBreak/>
        <w:t>Should the request include a verification of funds statement?</w:t>
      </w:r>
      <w:r w:rsidRPr="006E7076">
        <w:rPr>
          <w:rFonts w:ascii="Verdana" w:hAnsi="Verdana"/>
          <w:b/>
          <w:sz w:val="24"/>
          <w:szCs w:val="24"/>
        </w:rPr>
        <w:t xml:space="preserve"> 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Yes, </w:t>
      </w:r>
      <w:r w:rsidR="00B91AAA">
        <w:rPr>
          <w:rFonts w:ascii="Verdana" w:hAnsi="Verdana"/>
          <w:sz w:val="24"/>
          <w:szCs w:val="24"/>
        </w:rPr>
        <w:t xml:space="preserve">the AHR unit will seek the confirmation of available </w:t>
      </w:r>
      <w:r w:rsidRPr="006E7076">
        <w:rPr>
          <w:rFonts w:ascii="Verdana" w:hAnsi="Verdana"/>
          <w:sz w:val="24"/>
          <w:szCs w:val="24"/>
        </w:rPr>
        <w:t xml:space="preserve">funding </w:t>
      </w:r>
      <w:r w:rsidR="00B91AAA">
        <w:rPr>
          <w:rFonts w:ascii="Verdana" w:hAnsi="Verdana"/>
          <w:sz w:val="24"/>
          <w:szCs w:val="24"/>
        </w:rPr>
        <w:t>from</w:t>
      </w:r>
      <w:r w:rsidRPr="006E7076">
        <w:rPr>
          <w:rFonts w:ascii="Verdana" w:hAnsi="Verdana"/>
          <w:sz w:val="24"/>
          <w:szCs w:val="24"/>
        </w:rPr>
        <w:t xml:space="preserve"> the ANR </w:t>
      </w:r>
      <w:r w:rsidR="006B2C47" w:rsidRPr="006E7076">
        <w:rPr>
          <w:rFonts w:ascii="Verdana" w:hAnsi="Verdana"/>
          <w:sz w:val="24"/>
          <w:szCs w:val="24"/>
        </w:rPr>
        <w:t xml:space="preserve">Business Operations Center (BOC-K or BOC-D) office or </w:t>
      </w:r>
      <w:r w:rsidRPr="006E7076">
        <w:rPr>
          <w:rFonts w:ascii="Verdana" w:hAnsi="Verdana"/>
          <w:sz w:val="24"/>
          <w:szCs w:val="24"/>
        </w:rPr>
        <w:t>Contracts and Grants Unit</w:t>
      </w:r>
      <w:r w:rsidR="006B2C47" w:rsidRPr="006E7076">
        <w:rPr>
          <w:rFonts w:ascii="Verdana" w:hAnsi="Verdana"/>
          <w:sz w:val="24"/>
          <w:szCs w:val="24"/>
        </w:rPr>
        <w:t>, as appropriate</w:t>
      </w:r>
      <w:r w:rsidRPr="006E7076">
        <w:rPr>
          <w:rFonts w:ascii="Verdana" w:hAnsi="Verdana"/>
          <w:sz w:val="24"/>
          <w:szCs w:val="24"/>
        </w:rPr>
        <w:t xml:space="preserve">.   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i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>Which ANR administrative unit will manage and track the Junior Specialist appointments?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The </w:t>
      </w:r>
      <w:r w:rsidR="006B2C47" w:rsidRPr="006E7076">
        <w:rPr>
          <w:rFonts w:ascii="Verdana" w:hAnsi="Verdana"/>
          <w:sz w:val="24"/>
          <w:szCs w:val="24"/>
        </w:rPr>
        <w:t>AHR</w:t>
      </w:r>
      <w:r w:rsidRPr="006E7076">
        <w:rPr>
          <w:rFonts w:ascii="Verdana" w:hAnsi="Verdana"/>
          <w:sz w:val="24"/>
          <w:szCs w:val="24"/>
        </w:rPr>
        <w:t xml:space="preserve"> Unit will oversee the appointments.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i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>Who should prepare the offer letter?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>The Principal Investigator (PI) shall prepare and attach a draft offer letter to the appointment request.  After receiving appointment approval, the PI shall provide a finalized copy of the offer letter to the appointee for review and signature.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i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>When should a PI submit an appointment request?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Requests </w:t>
      </w:r>
      <w:proofErr w:type="gramStart"/>
      <w:r w:rsidRPr="006E7076">
        <w:rPr>
          <w:rFonts w:ascii="Verdana" w:hAnsi="Verdana"/>
          <w:sz w:val="24"/>
          <w:szCs w:val="24"/>
        </w:rPr>
        <w:t>shall be submitted</w:t>
      </w:r>
      <w:proofErr w:type="gramEnd"/>
      <w:r w:rsidRPr="006E7076">
        <w:rPr>
          <w:rFonts w:ascii="Verdana" w:hAnsi="Verdana"/>
          <w:sz w:val="24"/>
          <w:szCs w:val="24"/>
        </w:rPr>
        <w:t xml:space="preserve"> at least </w:t>
      </w:r>
      <w:r w:rsidR="00722B5C" w:rsidRPr="006E7076">
        <w:rPr>
          <w:rFonts w:ascii="Verdana" w:hAnsi="Verdana"/>
          <w:sz w:val="24"/>
          <w:szCs w:val="24"/>
        </w:rPr>
        <w:t>s</w:t>
      </w:r>
      <w:r w:rsidRPr="006E7076">
        <w:rPr>
          <w:rFonts w:ascii="Verdana" w:hAnsi="Verdana"/>
          <w:sz w:val="24"/>
          <w:szCs w:val="24"/>
        </w:rPr>
        <w:t>i</w:t>
      </w:r>
      <w:r w:rsidR="00722B5C" w:rsidRPr="006E7076">
        <w:rPr>
          <w:rFonts w:ascii="Verdana" w:hAnsi="Verdana"/>
          <w:sz w:val="24"/>
          <w:szCs w:val="24"/>
        </w:rPr>
        <w:t>x</w:t>
      </w:r>
      <w:r w:rsidRPr="006E7076">
        <w:rPr>
          <w:rFonts w:ascii="Verdana" w:hAnsi="Verdana"/>
          <w:sz w:val="24"/>
          <w:szCs w:val="24"/>
        </w:rPr>
        <w:t>ty (</w:t>
      </w:r>
      <w:r w:rsidR="00722B5C" w:rsidRPr="006E7076">
        <w:rPr>
          <w:rFonts w:ascii="Verdana" w:hAnsi="Verdana"/>
          <w:sz w:val="24"/>
          <w:szCs w:val="24"/>
        </w:rPr>
        <w:t>6</w:t>
      </w:r>
      <w:r w:rsidRPr="006E7076">
        <w:rPr>
          <w:rFonts w:ascii="Verdana" w:hAnsi="Verdana"/>
          <w:sz w:val="24"/>
          <w:szCs w:val="24"/>
        </w:rPr>
        <w:t>0) days prior to the effective date of the proposed appointment.</w:t>
      </w:r>
    </w:p>
    <w:p w:rsidR="00722B5C" w:rsidRPr="006E7076" w:rsidRDefault="00722B5C" w:rsidP="00D83EBA">
      <w:pPr>
        <w:pStyle w:val="PlainText"/>
        <w:rPr>
          <w:rFonts w:ascii="Verdana" w:hAnsi="Verdana"/>
          <w:sz w:val="24"/>
          <w:szCs w:val="24"/>
        </w:rPr>
      </w:pPr>
    </w:p>
    <w:p w:rsidR="00722B5C" w:rsidRPr="00481D87" w:rsidRDefault="00722B5C" w:rsidP="00D83EBA">
      <w:pPr>
        <w:pStyle w:val="PlainText"/>
        <w:rPr>
          <w:rFonts w:ascii="Verdana" w:hAnsi="Verdana"/>
          <w:b/>
          <w:sz w:val="24"/>
          <w:szCs w:val="24"/>
        </w:rPr>
      </w:pPr>
      <w:r w:rsidRPr="00481D87">
        <w:rPr>
          <w:rFonts w:ascii="Verdana" w:hAnsi="Verdana"/>
          <w:b/>
          <w:sz w:val="24"/>
          <w:szCs w:val="24"/>
        </w:rPr>
        <w:t xml:space="preserve">What steps </w:t>
      </w:r>
      <w:proofErr w:type="gramStart"/>
      <w:r w:rsidRPr="00481D87">
        <w:rPr>
          <w:rFonts w:ascii="Verdana" w:hAnsi="Verdana"/>
          <w:b/>
          <w:sz w:val="24"/>
          <w:szCs w:val="24"/>
        </w:rPr>
        <w:t>should be taken</w:t>
      </w:r>
      <w:proofErr w:type="gramEnd"/>
      <w:r w:rsidRPr="00481D87">
        <w:rPr>
          <w:rFonts w:ascii="Verdana" w:hAnsi="Verdana"/>
          <w:b/>
          <w:sz w:val="24"/>
          <w:szCs w:val="24"/>
        </w:rPr>
        <w:t xml:space="preserve"> if an international visiting scholar is the prospective appointee?</w:t>
      </w:r>
    </w:p>
    <w:p w:rsidR="00722B5C" w:rsidRPr="006E7076" w:rsidRDefault="00722B5C" w:rsidP="00D83EB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The requestor should immediately contact AHR regarding the appointment of an international visiting scholar. Such requests may take as much as three (3) to </w:t>
      </w:r>
      <w:r w:rsidR="00B91AAA">
        <w:rPr>
          <w:rFonts w:ascii="Verdana" w:hAnsi="Verdana"/>
          <w:sz w:val="24"/>
          <w:szCs w:val="24"/>
        </w:rPr>
        <w:t>four</w:t>
      </w:r>
      <w:r w:rsidRPr="006E7076">
        <w:rPr>
          <w:rFonts w:ascii="Verdana" w:hAnsi="Verdana"/>
          <w:sz w:val="24"/>
          <w:szCs w:val="24"/>
        </w:rPr>
        <w:t xml:space="preserve"> (</w:t>
      </w:r>
      <w:r w:rsidR="00B91AAA">
        <w:rPr>
          <w:rFonts w:ascii="Verdana" w:hAnsi="Verdana"/>
          <w:sz w:val="24"/>
          <w:szCs w:val="24"/>
        </w:rPr>
        <w:t>4</w:t>
      </w:r>
      <w:r w:rsidRPr="006E7076">
        <w:rPr>
          <w:rFonts w:ascii="Verdana" w:hAnsi="Verdana"/>
          <w:sz w:val="24"/>
          <w:szCs w:val="24"/>
        </w:rPr>
        <w:t>) months or more to process.</w:t>
      </w:r>
    </w:p>
    <w:p w:rsidR="00D83EBA" w:rsidRPr="006E7076" w:rsidRDefault="00D83EBA" w:rsidP="00D83EBA">
      <w:pPr>
        <w:pStyle w:val="PlainText"/>
        <w:rPr>
          <w:rFonts w:ascii="Verdana" w:hAnsi="Verdana"/>
          <w:sz w:val="24"/>
          <w:szCs w:val="24"/>
        </w:rPr>
      </w:pPr>
    </w:p>
    <w:p w:rsidR="00D83EBA" w:rsidRPr="006E7076" w:rsidRDefault="00D83EBA" w:rsidP="00D83EBA">
      <w:pPr>
        <w:pStyle w:val="PlainText"/>
        <w:rPr>
          <w:rFonts w:ascii="Verdana" w:hAnsi="Verdana"/>
          <w:b/>
          <w:i/>
          <w:sz w:val="24"/>
          <w:szCs w:val="24"/>
        </w:rPr>
      </w:pPr>
      <w:r w:rsidRPr="006E7076">
        <w:rPr>
          <w:rFonts w:ascii="Verdana" w:hAnsi="Verdana"/>
          <w:b/>
          <w:i/>
          <w:sz w:val="24"/>
          <w:szCs w:val="24"/>
        </w:rPr>
        <w:t>Can a PI request an extension for an appointment initially approved for less than twelve months?</w:t>
      </w:r>
    </w:p>
    <w:p w:rsidR="00F90523" w:rsidRDefault="00D83EBA" w:rsidP="00177ECA">
      <w:pPr>
        <w:pStyle w:val="PlainText"/>
        <w:rPr>
          <w:rFonts w:ascii="Verdana" w:hAnsi="Verdana"/>
          <w:sz w:val="24"/>
          <w:szCs w:val="24"/>
        </w:rPr>
      </w:pPr>
      <w:r w:rsidRPr="006E7076">
        <w:rPr>
          <w:rFonts w:ascii="Verdana" w:hAnsi="Verdana"/>
          <w:sz w:val="24"/>
          <w:szCs w:val="24"/>
        </w:rPr>
        <w:t xml:space="preserve">Renewals </w:t>
      </w:r>
      <w:proofErr w:type="gramStart"/>
      <w:r w:rsidRPr="006E7076">
        <w:rPr>
          <w:rFonts w:ascii="Verdana" w:hAnsi="Verdana"/>
          <w:sz w:val="24"/>
          <w:szCs w:val="24"/>
        </w:rPr>
        <w:t>may be considered</w:t>
      </w:r>
      <w:proofErr w:type="gramEnd"/>
      <w:r w:rsidRPr="006E7076">
        <w:rPr>
          <w:rFonts w:ascii="Verdana" w:hAnsi="Verdana"/>
          <w:sz w:val="24"/>
          <w:szCs w:val="24"/>
        </w:rPr>
        <w:t xml:space="preserve"> as long as justification for the extension is provided, funding is available, and the total appointment period for the appointee does not extend beyond </w:t>
      </w:r>
      <w:r w:rsidR="00177ECA" w:rsidRPr="006E7076">
        <w:rPr>
          <w:rFonts w:ascii="Verdana" w:hAnsi="Verdana"/>
          <w:sz w:val="24"/>
          <w:szCs w:val="24"/>
        </w:rPr>
        <w:t>12 cumulative months</w:t>
      </w:r>
      <w:r w:rsidRPr="006E7076">
        <w:rPr>
          <w:rFonts w:ascii="Verdana" w:hAnsi="Verdana"/>
          <w:sz w:val="24"/>
          <w:szCs w:val="24"/>
        </w:rPr>
        <w:t>.</w:t>
      </w:r>
    </w:p>
    <w:p w:rsidR="00565E76" w:rsidRDefault="00565E76" w:rsidP="00177ECA">
      <w:pPr>
        <w:pStyle w:val="PlainText"/>
        <w:rPr>
          <w:rFonts w:ascii="Verdana" w:hAnsi="Verdana"/>
          <w:sz w:val="24"/>
          <w:szCs w:val="24"/>
        </w:rPr>
      </w:pPr>
    </w:p>
    <w:p w:rsidR="00565E76" w:rsidRPr="002213E5" w:rsidRDefault="00565E76" w:rsidP="00177ECA">
      <w:pPr>
        <w:pStyle w:val="PlainText"/>
        <w:rPr>
          <w:rFonts w:ascii="Verdana" w:hAnsi="Verdana"/>
          <w:b/>
          <w:sz w:val="24"/>
          <w:szCs w:val="24"/>
          <w:highlight w:val="yellow"/>
        </w:rPr>
      </w:pPr>
      <w:proofErr w:type="gramStart"/>
      <w:r w:rsidRPr="002213E5">
        <w:rPr>
          <w:rFonts w:ascii="Verdana" w:hAnsi="Verdana"/>
          <w:b/>
          <w:sz w:val="24"/>
          <w:szCs w:val="24"/>
          <w:highlight w:val="yellow"/>
        </w:rPr>
        <w:t>Who</w:t>
      </w:r>
      <w:proofErr w:type="gramEnd"/>
      <w:r w:rsidRPr="002213E5">
        <w:rPr>
          <w:rFonts w:ascii="Verdana" w:hAnsi="Verdana"/>
          <w:b/>
          <w:sz w:val="24"/>
          <w:szCs w:val="24"/>
          <w:highlight w:val="yellow"/>
        </w:rPr>
        <w:t xml:space="preserve"> should I contact if the appointee resigns? (</w:t>
      </w:r>
      <w:proofErr w:type="gramStart"/>
      <w:r w:rsidRPr="002213E5">
        <w:rPr>
          <w:rFonts w:ascii="Verdana" w:hAnsi="Verdana"/>
          <w:b/>
          <w:sz w:val="24"/>
          <w:szCs w:val="24"/>
          <w:highlight w:val="yellow"/>
        </w:rPr>
        <w:t>prior</w:t>
      </w:r>
      <w:proofErr w:type="gramEnd"/>
      <w:r w:rsidRPr="002213E5">
        <w:rPr>
          <w:rFonts w:ascii="Verdana" w:hAnsi="Verdana"/>
          <w:b/>
          <w:sz w:val="24"/>
          <w:szCs w:val="24"/>
          <w:highlight w:val="yellow"/>
        </w:rPr>
        <w:t xml:space="preserve"> to the previously agreed-to end date).</w:t>
      </w:r>
    </w:p>
    <w:p w:rsidR="00565E76" w:rsidRPr="00565E76" w:rsidRDefault="00565E76" w:rsidP="00565E76">
      <w:pPr>
        <w:spacing w:after="0"/>
        <w:rPr>
          <w:rFonts w:ascii="Verdana" w:hAnsi="Verdana"/>
          <w:sz w:val="24"/>
          <w:szCs w:val="24"/>
        </w:rPr>
      </w:pPr>
      <w:r w:rsidRPr="002213E5">
        <w:rPr>
          <w:rFonts w:ascii="Verdana" w:hAnsi="Verdana"/>
          <w:iCs/>
          <w:sz w:val="24"/>
          <w:szCs w:val="24"/>
          <w:highlight w:val="yellow"/>
        </w:rPr>
        <w:t>When the Junior Specialist resigns from the position, the host appointee shall inform the AHR Unit by e-mailing the resignation letter in order for AHR to initiate the separation process</w:t>
      </w:r>
      <w:bookmarkStart w:id="0" w:name="_GoBack"/>
      <w:bookmarkEnd w:id="0"/>
      <w:r w:rsidRPr="00565E76">
        <w:rPr>
          <w:rFonts w:ascii="Verdana" w:hAnsi="Verdana"/>
          <w:iCs/>
          <w:sz w:val="24"/>
          <w:szCs w:val="24"/>
        </w:rPr>
        <w:t>.</w:t>
      </w:r>
    </w:p>
    <w:p w:rsidR="00565E76" w:rsidRPr="006E7076" w:rsidRDefault="00565E76" w:rsidP="00177ECA">
      <w:pPr>
        <w:pStyle w:val="PlainText"/>
        <w:rPr>
          <w:rFonts w:ascii="Verdana" w:hAnsi="Verdana"/>
          <w:sz w:val="24"/>
          <w:szCs w:val="24"/>
        </w:rPr>
      </w:pPr>
    </w:p>
    <w:p w:rsidR="006E7076" w:rsidRDefault="006E7076" w:rsidP="006E7076">
      <w:pPr>
        <w:spacing w:after="0"/>
        <w:rPr>
          <w:rFonts w:ascii="Verdana" w:hAnsi="Verdana"/>
          <w:iCs/>
          <w:sz w:val="24"/>
          <w:szCs w:val="24"/>
        </w:rPr>
      </w:pPr>
      <w:r w:rsidRPr="00F0441A">
        <w:rPr>
          <w:rFonts w:ascii="Verdana" w:hAnsi="Verdana"/>
          <w:b/>
          <w:iCs/>
          <w:sz w:val="24"/>
          <w:szCs w:val="24"/>
        </w:rPr>
        <w:t xml:space="preserve">How will the prospective appointee know that the requested appointment </w:t>
      </w:r>
      <w:proofErr w:type="gramStart"/>
      <w:r w:rsidRPr="00F0441A">
        <w:rPr>
          <w:rFonts w:ascii="Verdana" w:hAnsi="Verdana"/>
          <w:b/>
          <w:iCs/>
          <w:sz w:val="24"/>
          <w:szCs w:val="24"/>
        </w:rPr>
        <w:t>has been approved</w:t>
      </w:r>
      <w:proofErr w:type="gramEnd"/>
      <w:r w:rsidRPr="00F0441A">
        <w:rPr>
          <w:rFonts w:ascii="Verdana" w:hAnsi="Verdana"/>
          <w:b/>
          <w:iCs/>
          <w:sz w:val="24"/>
          <w:szCs w:val="24"/>
        </w:rPr>
        <w:t>?</w:t>
      </w:r>
    </w:p>
    <w:p w:rsidR="006E7076" w:rsidRDefault="006E7076" w:rsidP="006E7076">
      <w:p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Prospective Appointee’s supervisor will provide the prospective appointee with an appointment letter for their review and signature of acceptance.</w:t>
      </w:r>
    </w:p>
    <w:p w:rsidR="006E7076" w:rsidRDefault="006E7076" w:rsidP="006E7076">
      <w:p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The appointment letter will inform the prospective appointee of the following appointment working conditions:</w:t>
      </w:r>
    </w:p>
    <w:p w:rsidR="006E7076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lastRenderedPageBreak/>
        <w:t xml:space="preserve">    </w:t>
      </w:r>
      <w:r w:rsidR="006E7076">
        <w:rPr>
          <w:rFonts w:ascii="Verdana" w:hAnsi="Verdana"/>
          <w:iCs/>
          <w:sz w:val="24"/>
          <w:szCs w:val="24"/>
        </w:rPr>
        <w:t>Payroll title and title code</w:t>
      </w:r>
    </w:p>
    <w:p w:rsidR="006E7076" w:rsidRPr="006E7076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6E7076" w:rsidRPr="006E7076">
        <w:rPr>
          <w:rFonts w:ascii="Verdana" w:hAnsi="Verdana"/>
          <w:iCs/>
          <w:sz w:val="24"/>
          <w:szCs w:val="24"/>
        </w:rPr>
        <w:t>Duration – start and end dates</w:t>
      </w:r>
    </w:p>
    <w:p w:rsidR="006E7076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6E7076">
        <w:rPr>
          <w:rFonts w:ascii="Verdana" w:hAnsi="Verdana"/>
          <w:iCs/>
          <w:sz w:val="24"/>
          <w:szCs w:val="24"/>
        </w:rPr>
        <w:t>Appointment type</w:t>
      </w:r>
    </w:p>
    <w:p w:rsidR="00EE42DE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EE42DE">
        <w:rPr>
          <w:rFonts w:ascii="Verdana" w:hAnsi="Verdana"/>
          <w:iCs/>
          <w:sz w:val="24"/>
          <w:szCs w:val="24"/>
        </w:rPr>
        <w:t>Appointment percentage</w:t>
      </w:r>
    </w:p>
    <w:p w:rsidR="006E7076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6E7076">
        <w:rPr>
          <w:rFonts w:ascii="Verdana" w:hAnsi="Verdana"/>
          <w:iCs/>
          <w:sz w:val="24"/>
          <w:szCs w:val="24"/>
        </w:rPr>
        <w:t>Supervisor</w:t>
      </w:r>
    </w:p>
    <w:p w:rsidR="006E7076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6E7076">
        <w:rPr>
          <w:rFonts w:ascii="Verdana" w:hAnsi="Verdana"/>
          <w:iCs/>
          <w:sz w:val="24"/>
          <w:szCs w:val="24"/>
        </w:rPr>
        <w:t>Work location(s)</w:t>
      </w:r>
    </w:p>
    <w:p w:rsidR="006E7076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6E7076">
        <w:rPr>
          <w:rFonts w:ascii="Verdana" w:hAnsi="Verdana"/>
          <w:iCs/>
          <w:sz w:val="24"/>
          <w:szCs w:val="24"/>
        </w:rPr>
        <w:t>Annual, monthly and hourly rate of pay, if any</w:t>
      </w:r>
    </w:p>
    <w:p w:rsidR="006E7076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6E7076">
        <w:rPr>
          <w:rFonts w:ascii="Verdana" w:hAnsi="Verdana"/>
          <w:iCs/>
          <w:sz w:val="24"/>
          <w:szCs w:val="24"/>
        </w:rPr>
        <w:t xml:space="preserve">Entitlement to health and welfare, leave, </w:t>
      </w:r>
      <w:r w:rsidR="00EE42DE">
        <w:rPr>
          <w:rFonts w:ascii="Verdana" w:hAnsi="Verdana"/>
          <w:iCs/>
          <w:sz w:val="24"/>
          <w:szCs w:val="24"/>
        </w:rPr>
        <w:t xml:space="preserve">retirement, </w:t>
      </w:r>
      <w:r w:rsidR="00834572">
        <w:rPr>
          <w:rFonts w:ascii="Verdana" w:hAnsi="Verdana"/>
          <w:iCs/>
          <w:sz w:val="24"/>
          <w:szCs w:val="24"/>
        </w:rPr>
        <w:t>applicable web sites</w:t>
      </w:r>
    </w:p>
    <w:p w:rsidR="00EE42DE" w:rsidRDefault="00F04460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 xml:space="preserve">    </w:t>
      </w:r>
      <w:r w:rsidR="00EE42DE">
        <w:rPr>
          <w:rFonts w:ascii="Verdana" w:hAnsi="Verdana"/>
          <w:iCs/>
          <w:sz w:val="24"/>
          <w:szCs w:val="24"/>
        </w:rPr>
        <w:t>US federal and state tax information</w:t>
      </w:r>
    </w:p>
    <w:p w:rsidR="00EE42DE" w:rsidRDefault="00EE42DE" w:rsidP="006E7076">
      <w:pPr>
        <w:pStyle w:val="ListParagraph"/>
        <w:numPr>
          <w:ilvl w:val="0"/>
          <w:numId w:val="12"/>
        </w:numPr>
        <w:spacing w:after="0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Non-immigrant worker status information</w:t>
      </w:r>
    </w:p>
    <w:p w:rsidR="006E7076" w:rsidRPr="00FA0992" w:rsidRDefault="006E7076" w:rsidP="002B40F9">
      <w:pPr>
        <w:pStyle w:val="ListParagraph"/>
        <w:numPr>
          <w:ilvl w:val="0"/>
          <w:numId w:val="12"/>
        </w:numPr>
        <w:spacing w:after="0"/>
        <w:rPr>
          <w:rFonts w:ascii="Verdana" w:hAnsi="Verdana"/>
          <w:sz w:val="24"/>
          <w:szCs w:val="24"/>
        </w:rPr>
      </w:pPr>
      <w:r w:rsidRPr="00834572">
        <w:rPr>
          <w:rFonts w:ascii="Verdana" w:hAnsi="Verdana"/>
          <w:iCs/>
          <w:sz w:val="24"/>
          <w:szCs w:val="24"/>
        </w:rPr>
        <w:t>Work environment details such as smoking/non-smoking regulation:</w:t>
      </w:r>
      <w:r w:rsidR="00834572" w:rsidRPr="00834572">
        <w:rPr>
          <w:rFonts w:ascii="Verdana" w:hAnsi="Verdana"/>
          <w:iCs/>
          <w:sz w:val="24"/>
          <w:szCs w:val="24"/>
        </w:rPr>
        <w:t xml:space="preserve">  </w:t>
      </w:r>
      <w:r w:rsidR="00834572">
        <w:rPr>
          <w:rFonts w:ascii="Verdana" w:hAnsi="Verdana"/>
          <w:iCs/>
          <w:sz w:val="24"/>
          <w:szCs w:val="24"/>
        </w:rPr>
        <w:t>“</w:t>
      </w:r>
      <w:r w:rsidRPr="00834572">
        <w:rPr>
          <w:rFonts w:ascii="Verdana" w:hAnsi="Verdana"/>
          <w:iCs/>
          <w:sz w:val="24"/>
          <w:szCs w:val="24"/>
        </w:rPr>
        <w:t>As of January 1, 2014, ANR is a smoke- and tobacco-free environment in which smoking, the use of smokeless tobacco products, and the use of unregulated nicotine products (e-cigarettes), are strictly prohibited.</w:t>
      </w:r>
      <w:r w:rsidR="00834572">
        <w:rPr>
          <w:rFonts w:ascii="Verdana" w:hAnsi="Verdana"/>
          <w:iCs/>
          <w:sz w:val="24"/>
          <w:szCs w:val="24"/>
        </w:rPr>
        <w:t>”</w:t>
      </w:r>
    </w:p>
    <w:p w:rsidR="006E7076" w:rsidRDefault="006E7076" w:rsidP="00177ECA">
      <w:pPr>
        <w:pStyle w:val="PlainText"/>
        <w:rPr>
          <w:rStyle w:val="IntenseEmphasis"/>
          <w:i w:val="0"/>
          <w:color w:val="1F497D" w:themeColor="text2"/>
          <w:sz w:val="28"/>
          <w:szCs w:val="28"/>
        </w:rPr>
      </w:pPr>
    </w:p>
    <w:sectPr w:rsidR="006E7076" w:rsidSect="008B1B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BE" w:rsidRDefault="008B16BE" w:rsidP="00A07542">
      <w:pPr>
        <w:spacing w:after="0" w:line="240" w:lineRule="auto"/>
      </w:pPr>
      <w:r>
        <w:separator/>
      </w:r>
    </w:p>
  </w:endnote>
  <w:endnote w:type="continuationSeparator" w:id="0">
    <w:p w:rsidR="008B16BE" w:rsidRDefault="008B16BE" w:rsidP="00A0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82" w:rsidRPr="00FD38CB" w:rsidRDefault="008E283F" w:rsidP="00F01482">
    <w:pPr>
      <w:pStyle w:val="Footer"/>
      <w:rPr>
        <w:sz w:val="18"/>
        <w:szCs w:val="18"/>
      </w:rPr>
    </w:pPr>
    <w:r>
      <w:rPr>
        <w:sz w:val="18"/>
        <w:szCs w:val="18"/>
      </w:rPr>
      <w:t>AHR Junior Specialist NEX Appointment Guidelines</w:t>
    </w:r>
    <w:r w:rsidR="00585C57">
      <w:rPr>
        <w:sz w:val="18"/>
        <w:szCs w:val="18"/>
      </w:rPr>
      <w:tab/>
    </w:r>
    <w:r w:rsidR="00585C57">
      <w:rPr>
        <w:sz w:val="18"/>
        <w:szCs w:val="18"/>
      </w:rPr>
      <w:tab/>
    </w:r>
    <w:r w:rsidR="0027507D">
      <w:rPr>
        <w:sz w:val="18"/>
        <w:szCs w:val="18"/>
      </w:rPr>
      <w:t>Rev.10</w:t>
    </w:r>
    <w:r w:rsidR="000F1186">
      <w:rPr>
        <w:sz w:val="18"/>
        <w:szCs w:val="18"/>
      </w:rPr>
      <w:t>/</w:t>
    </w:r>
    <w:r w:rsidR="00565E76">
      <w:rPr>
        <w:sz w:val="18"/>
        <w:szCs w:val="18"/>
      </w:rPr>
      <w:t>6</w:t>
    </w:r>
    <w:r w:rsidR="00A64031">
      <w:rPr>
        <w:sz w:val="18"/>
        <w:szCs w:val="18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BE" w:rsidRDefault="008B16BE" w:rsidP="00A07542">
      <w:pPr>
        <w:spacing w:after="0" w:line="240" w:lineRule="auto"/>
      </w:pPr>
      <w:r>
        <w:separator/>
      </w:r>
    </w:p>
  </w:footnote>
  <w:footnote w:type="continuationSeparator" w:id="0">
    <w:p w:rsidR="008B16BE" w:rsidRDefault="008B16BE" w:rsidP="00A0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47" w:rsidRDefault="007F3547" w:rsidP="00F01482">
    <w:pPr>
      <w:pStyle w:val="Header"/>
      <w:ind w:left="5040" w:firstLine="2880"/>
    </w:pPr>
  </w:p>
  <w:p w:rsidR="00A07542" w:rsidRDefault="00A0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1D6A"/>
    <w:multiLevelType w:val="hybridMultilevel"/>
    <w:tmpl w:val="2C3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73FB"/>
    <w:multiLevelType w:val="hybridMultilevel"/>
    <w:tmpl w:val="8AE8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27A7A"/>
    <w:multiLevelType w:val="hybridMultilevel"/>
    <w:tmpl w:val="2FFC41F2"/>
    <w:lvl w:ilvl="0" w:tplc="00ECB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1DBC"/>
    <w:multiLevelType w:val="hybridMultilevel"/>
    <w:tmpl w:val="F814E3DE"/>
    <w:lvl w:ilvl="0" w:tplc="1BFC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D48AF"/>
    <w:multiLevelType w:val="hybridMultilevel"/>
    <w:tmpl w:val="1354C8FA"/>
    <w:lvl w:ilvl="0" w:tplc="DC4E3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562F6"/>
    <w:multiLevelType w:val="hybridMultilevel"/>
    <w:tmpl w:val="1690E648"/>
    <w:lvl w:ilvl="0" w:tplc="E660B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13BD9"/>
    <w:multiLevelType w:val="hybridMultilevel"/>
    <w:tmpl w:val="77D801EE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98E194F"/>
    <w:multiLevelType w:val="hybridMultilevel"/>
    <w:tmpl w:val="C9901182"/>
    <w:lvl w:ilvl="0" w:tplc="2FFAF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B0603"/>
    <w:multiLevelType w:val="hybridMultilevel"/>
    <w:tmpl w:val="07189ED8"/>
    <w:lvl w:ilvl="0" w:tplc="A4F28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E63EA"/>
    <w:multiLevelType w:val="hybridMultilevel"/>
    <w:tmpl w:val="AF4C9C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05433"/>
    <w:multiLevelType w:val="hybridMultilevel"/>
    <w:tmpl w:val="C8E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54384"/>
    <w:multiLevelType w:val="hybridMultilevel"/>
    <w:tmpl w:val="D1181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04AAF"/>
    <w:multiLevelType w:val="hybridMultilevel"/>
    <w:tmpl w:val="418AC28E"/>
    <w:lvl w:ilvl="0" w:tplc="CF00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3A"/>
    <w:rsid w:val="000066BE"/>
    <w:rsid w:val="00011C32"/>
    <w:rsid w:val="00013812"/>
    <w:rsid w:val="00017110"/>
    <w:rsid w:val="0003086F"/>
    <w:rsid w:val="00031DDF"/>
    <w:rsid w:val="000451D6"/>
    <w:rsid w:val="00061966"/>
    <w:rsid w:val="00066CAF"/>
    <w:rsid w:val="000A0076"/>
    <w:rsid w:val="000A0531"/>
    <w:rsid w:val="000A503A"/>
    <w:rsid w:val="000C291E"/>
    <w:rsid w:val="000C4114"/>
    <w:rsid w:val="000C5CBF"/>
    <w:rsid w:val="000E45FE"/>
    <w:rsid w:val="000F0F4E"/>
    <w:rsid w:val="000F1186"/>
    <w:rsid w:val="000F4478"/>
    <w:rsid w:val="000F70DC"/>
    <w:rsid w:val="00102067"/>
    <w:rsid w:val="00141ACD"/>
    <w:rsid w:val="0015665D"/>
    <w:rsid w:val="001765B2"/>
    <w:rsid w:val="00177ECA"/>
    <w:rsid w:val="00182BFC"/>
    <w:rsid w:val="001A105A"/>
    <w:rsid w:val="001A318F"/>
    <w:rsid w:val="001A4E7F"/>
    <w:rsid w:val="001B078A"/>
    <w:rsid w:val="001D6164"/>
    <w:rsid w:val="001E63B3"/>
    <w:rsid w:val="00201807"/>
    <w:rsid w:val="00211075"/>
    <w:rsid w:val="002213E5"/>
    <w:rsid w:val="00224723"/>
    <w:rsid w:val="00230CCF"/>
    <w:rsid w:val="002448B3"/>
    <w:rsid w:val="0024668A"/>
    <w:rsid w:val="00251C7E"/>
    <w:rsid w:val="0025722E"/>
    <w:rsid w:val="0027507D"/>
    <w:rsid w:val="00293BE7"/>
    <w:rsid w:val="002B7520"/>
    <w:rsid w:val="002C4BFC"/>
    <w:rsid w:val="002C50F6"/>
    <w:rsid w:val="002D3F80"/>
    <w:rsid w:val="002E37B7"/>
    <w:rsid w:val="002F5F0D"/>
    <w:rsid w:val="00312CA8"/>
    <w:rsid w:val="00346873"/>
    <w:rsid w:val="00350644"/>
    <w:rsid w:val="00382751"/>
    <w:rsid w:val="003845A6"/>
    <w:rsid w:val="00394667"/>
    <w:rsid w:val="00481D87"/>
    <w:rsid w:val="00485650"/>
    <w:rsid w:val="004A1213"/>
    <w:rsid w:val="004A2C45"/>
    <w:rsid w:val="004A4EBB"/>
    <w:rsid w:val="004B2782"/>
    <w:rsid w:val="004B6DF4"/>
    <w:rsid w:val="004D3B8A"/>
    <w:rsid w:val="004D652A"/>
    <w:rsid w:val="004F3DE4"/>
    <w:rsid w:val="004F4EFF"/>
    <w:rsid w:val="00513E0E"/>
    <w:rsid w:val="00514D36"/>
    <w:rsid w:val="005232A0"/>
    <w:rsid w:val="005315B7"/>
    <w:rsid w:val="0053191D"/>
    <w:rsid w:val="005415B6"/>
    <w:rsid w:val="00543E53"/>
    <w:rsid w:val="005470AA"/>
    <w:rsid w:val="0056144A"/>
    <w:rsid w:val="00565E76"/>
    <w:rsid w:val="0057283F"/>
    <w:rsid w:val="00585C57"/>
    <w:rsid w:val="005A57CC"/>
    <w:rsid w:val="005E465F"/>
    <w:rsid w:val="005F1F2E"/>
    <w:rsid w:val="005F7D27"/>
    <w:rsid w:val="00611B1A"/>
    <w:rsid w:val="00645E10"/>
    <w:rsid w:val="00647A00"/>
    <w:rsid w:val="00664F1C"/>
    <w:rsid w:val="006717BE"/>
    <w:rsid w:val="006B2C47"/>
    <w:rsid w:val="006C2866"/>
    <w:rsid w:val="006E39CE"/>
    <w:rsid w:val="006E49A1"/>
    <w:rsid w:val="006E55EA"/>
    <w:rsid w:val="006E7076"/>
    <w:rsid w:val="0070313A"/>
    <w:rsid w:val="00722B5C"/>
    <w:rsid w:val="0072479B"/>
    <w:rsid w:val="007360D4"/>
    <w:rsid w:val="007400F8"/>
    <w:rsid w:val="00742E05"/>
    <w:rsid w:val="0074364B"/>
    <w:rsid w:val="007566CE"/>
    <w:rsid w:val="00766178"/>
    <w:rsid w:val="00780E07"/>
    <w:rsid w:val="007A53A9"/>
    <w:rsid w:val="007B1117"/>
    <w:rsid w:val="007B68FA"/>
    <w:rsid w:val="007C5150"/>
    <w:rsid w:val="007C7764"/>
    <w:rsid w:val="007D0B35"/>
    <w:rsid w:val="007D1C5F"/>
    <w:rsid w:val="007E3924"/>
    <w:rsid w:val="007E5497"/>
    <w:rsid w:val="007F0D47"/>
    <w:rsid w:val="007F3547"/>
    <w:rsid w:val="00804FE9"/>
    <w:rsid w:val="00813827"/>
    <w:rsid w:val="008172D5"/>
    <w:rsid w:val="00831837"/>
    <w:rsid w:val="00834572"/>
    <w:rsid w:val="00837897"/>
    <w:rsid w:val="00844CDE"/>
    <w:rsid w:val="00864913"/>
    <w:rsid w:val="0088729B"/>
    <w:rsid w:val="00893D60"/>
    <w:rsid w:val="008A3D55"/>
    <w:rsid w:val="008A4762"/>
    <w:rsid w:val="008B16BE"/>
    <w:rsid w:val="008B1B36"/>
    <w:rsid w:val="008D788D"/>
    <w:rsid w:val="008E283F"/>
    <w:rsid w:val="008F5DB5"/>
    <w:rsid w:val="00937714"/>
    <w:rsid w:val="00941A08"/>
    <w:rsid w:val="00962F42"/>
    <w:rsid w:val="00963103"/>
    <w:rsid w:val="00964969"/>
    <w:rsid w:val="00975275"/>
    <w:rsid w:val="00980C21"/>
    <w:rsid w:val="0098102D"/>
    <w:rsid w:val="009A359F"/>
    <w:rsid w:val="009B5CA8"/>
    <w:rsid w:val="009D6631"/>
    <w:rsid w:val="009F7107"/>
    <w:rsid w:val="00A07542"/>
    <w:rsid w:val="00A37D51"/>
    <w:rsid w:val="00A42198"/>
    <w:rsid w:val="00A43EEC"/>
    <w:rsid w:val="00A6202F"/>
    <w:rsid w:val="00A64031"/>
    <w:rsid w:val="00A67B64"/>
    <w:rsid w:val="00A91F61"/>
    <w:rsid w:val="00AA1082"/>
    <w:rsid w:val="00AA1B78"/>
    <w:rsid w:val="00AB3AB0"/>
    <w:rsid w:val="00AB6A48"/>
    <w:rsid w:val="00AD02DB"/>
    <w:rsid w:val="00AE1DD2"/>
    <w:rsid w:val="00AE2659"/>
    <w:rsid w:val="00B1797E"/>
    <w:rsid w:val="00B409A7"/>
    <w:rsid w:val="00B46E54"/>
    <w:rsid w:val="00B634DE"/>
    <w:rsid w:val="00B76034"/>
    <w:rsid w:val="00B83018"/>
    <w:rsid w:val="00B91AAA"/>
    <w:rsid w:val="00BA3E83"/>
    <w:rsid w:val="00BA72DD"/>
    <w:rsid w:val="00BC6989"/>
    <w:rsid w:val="00BE402E"/>
    <w:rsid w:val="00C44806"/>
    <w:rsid w:val="00C567FA"/>
    <w:rsid w:val="00C9787F"/>
    <w:rsid w:val="00CA0372"/>
    <w:rsid w:val="00CB4107"/>
    <w:rsid w:val="00CB4FF1"/>
    <w:rsid w:val="00CC18AB"/>
    <w:rsid w:val="00CC2304"/>
    <w:rsid w:val="00CD2688"/>
    <w:rsid w:val="00D241EC"/>
    <w:rsid w:val="00D26C65"/>
    <w:rsid w:val="00D36F86"/>
    <w:rsid w:val="00D43C29"/>
    <w:rsid w:val="00D60BD0"/>
    <w:rsid w:val="00D75D05"/>
    <w:rsid w:val="00D83EBA"/>
    <w:rsid w:val="00D85B4B"/>
    <w:rsid w:val="00D9640B"/>
    <w:rsid w:val="00DB4EE9"/>
    <w:rsid w:val="00DC491E"/>
    <w:rsid w:val="00DC59C8"/>
    <w:rsid w:val="00DC6526"/>
    <w:rsid w:val="00DF7D0B"/>
    <w:rsid w:val="00E158FB"/>
    <w:rsid w:val="00E2578D"/>
    <w:rsid w:val="00E31A79"/>
    <w:rsid w:val="00E33DDE"/>
    <w:rsid w:val="00E36855"/>
    <w:rsid w:val="00E60B5A"/>
    <w:rsid w:val="00E623D9"/>
    <w:rsid w:val="00E65236"/>
    <w:rsid w:val="00E966FF"/>
    <w:rsid w:val="00EC51C7"/>
    <w:rsid w:val="00ED7323"/>
    <w:rsid w:val="00EE42DE"/>
    <w:rsid w:val="00F01482"/>
    <w:rsid w:val="00F0441A"/>
    <w:rsid w:val="00F04460"/>
    <w:rsid w:val="00F265D3"/>
    <w:rsid w:val="00F578F7"/>
    <w:rsid w:val="00F82960"/>
    <w:rsid w:val="00F90523"/>
    <w:rsid w:val="00FA0992"/>
    <w:rsid w:val="00FA4C8D"/>
    <w:rsid w:val="00FB3B70"/>
    <w:rsid w:val="00FC2FFA"/>
    <w:rsid w:val="00FD38CB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5FA2BC1E-D73C-4258-8E6C-A2D3533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13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313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313A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400F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3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75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85B4B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542"/>
  </w:style>
  <w:style w:type="paragraph" w:styleId="Footer">
    <w:name w:val="footer"/>
    <w:basedOn w:val="Normal"/>
    <w:link w:val="FooterChar"/>
    <w:uiPriority w:val="99"/>
    <w:unhideWhenUsed/>
    <w:rsid w:val="00A0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542"/>
  </w:style>
  <w:style w:type="character" w:styleId="Strong">
    <w:name w:val="Strong"/>
    <w:basedOn w:val="DefaultParagraphFont"/>
    <w:uiPriority w:val="22"/>
    <w:qFormat/>
    <w:rsid w:val="005232A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232A0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D0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4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59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1560-18BF-4F3F-8FE0-7A5E2A78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 Jordan</dc:creator>
  <cp:lastModifiedBy>Karen Ellsworth</cp:lastModifiedBy>
  <cp:revision>4</cp:revision>
  <cp:lastPrinted>2017-10-06T16:49:00Z</cp:lastPrinted>
  <dcterms:created xsi:type="dcterms:W3CDTF">2017-10-06T16:49:00Z</dcterms:created>
  <dcterms:modified xsi:type="dcterms:W3CDTF">2017-10-11T22:09:00Z</dcterms:modified>
</cp:coreProperties>
</file>