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7CD99" w14:textId="00C7473E" w:rsidR="0060332B" w:rsidRPr="0060332B" w:rsidRDefault="0060332B" w:rsidP="0060332B">
      <w:pPr>
        <w:jc w:val="center"/>
        <w:rPr>
          <w:b/>
        </w:rPr>
      </w:pPr>
      <w:r w:rsidRPr="0060332B">
        <w:rPr>
          <w:b/>
        </w:rPr>
        <w:t>Course Information</w:t>
      </w:r>
    </w:p>
    <w:p w14:paraId="73AE11C6" w14:textId="01DC598A" w:rsidR="001267AB" w:rsidRDefault="009C3D73">
      <w:r>
        <w:t xml:space="preserve">The goal of these courses </w:t>
      </w:r>
      <w:r w:rsidR="00021F5D">
        <w:t xml:space="preserve">is </w:t>
      </w:r>
      <w:r w:rsidR="0019158B">
        <w:t xml:space="preserve">to </w:t>
      </w:r>
      <w:r>
        <w:t xml:space="preserve">provide participants with more in-depth examples of different data analyses. </w:t>
      </w:r>
      <w:r w:rsidR="00BF3B45">
        <w:t xml:space="preserve">These courses are designed for </w:t>
      </w:r>
      <w:r w:rsidR="00021F5D">
        <w:t xml:space="preserve">UC </w:t>
      </w:r>
      <w:r w:rsidR="00BF3B45">
        <w:t>ANR staff and academics doing evaluation and r</w:t>
      </w:r>
      <w:r w:rsidR="00A25806">
        <w:t xml:space="preserve">esearch. The courses will be </w:t>
      </w:r>
      <w:r w:rsidR="0060332B">
        <w:t>60-</w:t>
      </w:r>
      <w:r w:rsidR="00BF3B45">
        <w:t xml:space="preserve">90 minute online webinars </w:t>
      </w:r>
      <w:r w:rsidR="00021F5D">
        <w:t xml:space="preserve">and </w:t>
      </w:r>
      <w:r w:rsidR="00DC7404">
        <w:t xml:space="preserve">include </w:t>
      </w:r>
      <w:r w:rsidR="009F74F7">
        <w:t xml:space="preserve">optional </w:t>
      </w:r>
      <w:r w:rsidR="00DC7404">
        <w:t>take</w:t>
      </w:r>
      <w:r w:rsidR="00426414">
        <w:t>-home assignment</w:t>
      </w:r>
      <w:r w:rsidR="00021F5D">
        <w:t>s</w:t>
      </w:r>
      <w:r w:rsidR="00BF3B45">
        <w:t xml:space="preserve">. Courses will be offered the </w:t>
      </w:r>
      <w:r w:rsidR="00BF3B45" w:rsidRPr="00A22414">
        <w:rPr>
          <w:b/>
        </w:rPr>
        <w:t>second Tuesday</w:t>
      </w:r>
      <w:r w:rsidR="00BF3B45">
        <w:t xml:space="preserve"> of each month starting in February (with minor adjustments to the schedule </w:t>
      </w:r>
      <w:r w:rsidR="00021F5D">
        <w:t>in May</w:t>
      </w:r>
      <w:r w:rsidR="00BF3B45">
        <w:t xml:space="preserve">). </w:t>
      </w:r>
      <w:r w:rsidR="00A25806" w:rsidRPr="009F74F7">
        <w:rPr>
          <w:b/>
        </w:rPr>
        <w:t xml:space="preserve">Courses will be </w:t>
      </w:r>
      <w:r w:rsidR="008142D3" w:rsidRPr="009F74F7">
        <w:rPr>
          <w:b/>
        </w:rPr>
        <w:t>from</w:t>
      </w:r>
      <w:r w:rsidR="00A25806" w:rsidRPr="009F74F7">
        <w:rPr>
          <w:b/>
        </w:rPr>
        <w:t xml:space="preserve"> 10AM-11:30AM</w:t>
      </w:r>
      <w:r w:rsidR="00A25806">
        <w:t xml:space="preserve">. </w:t>
      </w:r>
      <w:r w:rsidR="002B1055">
        <w:t xml:space="preserve">Webinar information will be emailed to registered participants 1 week before the course. </w:t>
      </w:r>
      <w:r w:rsidR="00BF3B45">
        <w:t xml:space="preserve">There are 7 courses in total. Participants will have 1 week to complete </w:t>
      </w:r>
      <w:r w:rsidR="00CF37C0">
        <w:t xml:space="preserve">the </w:t>
      </w:r>
      <w:r w:rsidR="00426414">
        <w:t>take-home assignment</w:t>
      </w:r>
      <w:r w:rsidR="00BF3B45">
        <w:t>,</w:t>
      </w:r>
      <w:r w:rsidR="00021F5D">
        <w:t xml:space="preserve"> and will receive feedback two weeks after the due date. </w:t>
      </w:r>
      <w:r w:rsidR="00BF3B45">
        <w:t xml:space="preserve">Participants can choose which courses they attend; they do not need to attend all 7. However, </w:t>
      </w:r>
      <w:r w:rsidR="00CF37C0">
        <w:t xml:space="preserve">the </w:t>
      </w:r>
      <w:r w:rsidR="00426414">
        <w:t>assignment</w:t>
      </w:r>
      <w:r w:rsidR="00BF3B45">
        <w:t xml:space="preserve"> will only be accepted during the times listed on the schedule. </w:t>
      </w:r>
    </w:p>
    <w:p w14:paraId="54DF98AF" w14:textId="287C550A" w:rsidR="001267AB" w:rsidRDefault="00DC7404">
      <w:r>
        <w:t>The webinar</w:t>
      </w:r>
      <w:r w:rsidR="009F74F7">
        <w:t xml:space="preserve"> will take place through Zoom, and</w:t>
      </w:r>
      <w:r>
        <w:t xml:space="preserve"> will be recorded and posted on eXtension</w:t>
      </w:r>
      <w:r w:rsidR="009F74F7">
        <w:t xml:space="preserve"> </w:t>
      </w:r>
      <w:r w:rsidR="009F74F7" w:rsidRPr="009F74F7">
        <w:t>(</w:t>
      </w:r>
      <w:hyperlink r:id="rId6" w:history="1">
        <w:r w:rsidR="009F74F7" w:rsidRPr="009F74F7">
          <w:rPr>
            <w:rStyle w:val="Hyperlink"/>
          </w:rPr>
          <w:t>http://campus.extension.org</w:t>
        </w:r>
      </w:hyperlink>
      <w:r w:rsidR="009F74F7" w:rsidRPr="009F74F7">
        <w:rPr>
          <w:rStyle w:val="Hyperlink"/>
        </w:rPr>
        <w:t>)</w:t>
      </w:r>
      <w:r w:rsidRPr="009F74F7">
        <w:t xml:space="preserve"> </w:t>
      </w:r>
      <w:r w:rsidR="00BD6228" w:rsidRPr="009F74F7">
        <w:t>by the</w:t>
      </w:r>
      <w:r w:rsidR="00BD6228">
        <w:t xml:space="preserve"> end of the day on the day of the webinar. Those who are unable to attended one or more courses during the scheduled time can still participate and complete the assignment. </w:t>
      </w:r>
      <w:r w:rsidR="00BF3B45">
        <w:t xml:space="preserve">Datasets, PowerPoints, syntax and output files will </w:t>
      </w:r>
      <w:r w:rsidR="00BD6228">
        <w:t>also</w:t>
      </w:r>
      <w:r w:rsidR="00BF3B45">
        <w:t xml:space="preserve"> be provi</w:t>
      </w:r>
      <w:r w:rsidR="00CF37C0">
        <w:t xml:space="preserve">ded to participants. Note that the </w:t>
      </w:r>
      <w:r w:rsidR="00426414">
        <w:t>assignment</w:t>
      </w:r>
      <w:r w:rsidR="00BF3B45">
        <w:t xml:space="preserve"> answer files will be provided after the due date. The </w:t>
      </w:r>
      <w:r w:rsidR="00426414">
        <w:t>assignment</w:t>
      </w:r>
      <w:r w:rsidR="00BF3B45">
        <w:t xml:space="preserve"> </w:t>
      </w:r>
      <w:r w:rsidR="00426414">
        <w:t xml:space="preserve">files will be the same for every participant, but if you have related questions about a different project of your own, they can also be submitted during at the same time as the take-home assignment. </w:t>
      </w:r>
      <w:r w:rsidR="001267AB">
        <w:t xml:space="preserve">Some courses will require </w:t>
      </w:r>
      <w:r w:rsidR="00A270C4">
        <w:t xml:space="preserve">participants to view YouTube videos or PowerPoint slides prior to the webinar. Please see the course information on eXtension for each webinar (module) for details on each topic and any pre-requisite materials. </w:t>
      </w:r>
    </w:p>
    <w:p w14:paraId="44D71E60" w14:textId="3D1EADE1" w:rsidR="00C11C4F" w:rsidRDefault="00C11C4F">
      <w:r>
        <w:t>Below is a schedule of the courses.</w:t>
      </w:r>
    </w:p>
    <w:tbl>
      <w:tblPr>
        <w:tblStyle w:val="TableGrid"/>
        <w:tblW w:w="9934" w:type="dxa"/>
        <w:tblLayout w:type="fixed"/>
        <w:tblLook w:val="04A0" w:firstRow="1" w:lastRow="0" w:firstColumn="1" w:lastColumn="0" w:noHBand="0" w:noVBand="1"/>
      </w:tblPr>
      <w:tblGrid>
        <w:gridCol w:w="4945"/>
        <w:gridCol w:w="1530"/>
        <w:gridCol w:w="1620"/>
        <w:gridCol w:w="1839"/>
      </w:tblGrid>
      <w:tr w:rsidR="00CF37C0" w14:paraId="3F65BC9F" w14:textId="77777777" w:rsidTr="00E46CDC">
        <w:trPr>
          <w:trHeight w:val="228"/>
        </w:trPr>
        <w:tc>
          <w:tcPr>
            <w:tcW w:w="4945" w:type="dxa"/>
            <w:shd w:val="clear" w:color="auto" w:fill="244061" w:themeFill="accent1" w:themeFillShade="80"/>
            <w:vAlign w:val="center"/>
          </w:tcPr>
          <w:p w14:paraId="5FDE4038" w14:textId="77777777" w:rsidR="00CF37C0" w:rsidRPr="00021EEE" w:rsidRDefault="00CF37C0" w:rsidP="00E46CDC">
            <w:pPr>
              <w:contextualSpacing/>
              <w:jc w:val="center"/>
              <w:rPr>
                <w:b/>
              </w:rPr>
            </w:pPr>
            <w:r w:rsidRPr="00021EEE">
              <w:rPr>
                <w:b/>
              </w:rPr>
              <w:t>Course Topic</w:t>
            </w:r>
          </w:p>
        </w:tc>
        <w:tc>
          <w:tcPr>
            <w:tcW w:w="1530" w:type="dxa"/>
            <w:shd w:val="clear" w:color="auto" w:fill="244061" w:themeFill="accent1" w:themeFillShade="80"/>
            <w:vAlign w:val="center"/>
          </w:tcPr>
          <w:p w14:paraId="6C527F01" w14:textId="77777777" w:rsidR="00CF37C0" w:rsidRPr="00021EEE" w:rsidRDefault="00CF37C0" w:rsidP="00E46CDC">
            <w:pPr>
              <w:contextualSpacing/>
              <w:jc w:val="center"/>
              <w:rPr>
                <w:b/>
              </w:rPr>
            </w:pPr>
            <w:r>
              <w:rPr>
                <w:b/>
              </w:rPr>
              <w:t>Webinar Date</w:t>
            </w:r>
          </w:p>
        </w:tc>
        <w:tc>
          <w:tcPr>
            <w:tcW w:w="1620" w:type="dxa"/>
            <w:shd w:val="clear" w:color="auto" w:fill="244061" w:themeFill="accent1" w:themeFillShade="80"/>
            <w:vAlign w:val="center"/>
          </w:tcPr>
          <w:p w14:paraId="33DF4153" w14:textId="77777777" w:rsidR="00CF37C0" w:rsidRPr="00021EEE" w:rsidRDefault="00653DCD" w:rsidP="00E46CDC">
            <w:pPr>
              <w:contextualSpacing/>
              <w:jc w:val="center"/>
              <w:rPr>
                <w:b/>
              </w:rPr>
            </w:pPr>
            <w:r>
              <w:rPr>
                <w:b/>
              </w:rPr>
              <w:t>Assignment</w:t>
            </w:r>
            <w:r w:rsidR="00CF37C0">
              <w:rPr>
                <w:b/>
              </w:rPr>
              <w:t xml:space="preserve"> due date</w:t>
            </w:r>
          </w:p>
        </w:tc>
        <w:tc>
          <w:tcPr>
            <w:tcW w:w="1839" w:type="dxa"/>
            <w:shd w:val="clear" w:color="auto" w:fill="244061" w:themeFill="accent1" w:themeFillShade="80"/>
            <w:vAlign w:val="center"/>
          </w:tcPr>
          <w:p w14:paraId="16D9DFA7" w14:textId="77777777" w:rsidR="00CF37C0" w:rsidRDefault="00CF37C0" w:rsidP="00E46CDC">
            <w:pPr>
              <w:contextualSpacing/>
              <w:jc w:val="center"/>
              <w:rPr>
                <w:b/>
              </w:rPr>
            </w:pPr>
            <w:r>
              <w:rPr>
                <w:b/>
              </w:rPr>
              <w:t xml:space="preserve">Kendra returns </w:t>
            </w:r>
            <w:r w:rsidR="00653DCD">
              <w:rPr>
                <w:b/>
              </w:rPr>
              <w:t>assignment</w:t>
            </w:r>
            <w:r>
              <w:rPr>
                <w:b/>
              </w:rPr>
              <w:t xml:space="preserve"> by</w:t>
            </w:r>
          </w:p>
        </w:tc>
      </w:tr>
      <w:tr w:rsidR="00CF37C0" w14:paraId="3ECD67EA" w14:textId="77777777" w:rsidTr="00E46CDC">
        <w:trPr>
          <w:trHeight w:val="858"/>
        </w:trPr>
        <w:tc>
          <w:tcPr>
            <w:tcW w:w="4945" w:type="dxa"/>
            <w:vAlign w:val="center"/>
          </w:tcPr>
          <w:p w14:paraId="3D01E705" w14:textId="77777777" w:rsidR="00CF37C0" w:rsidRDefault="00CF37C0" w:rsidP="007E16CA">
            <w:pPr>
              <w:contextualSpacing/>
            </w:pPr>
            <w:r>
              <w:t>Entering data into Excel &amp; Getting data into SPSS</w:t>
            </w:r>
          </w:p>
        </w:tc>
        <w:tc>
          <w:tcPr>
            <w:tcW w:w="1530" w:type="dxa"/>
            <w:vAlign w:val="center"/>
          </w:tcPr>
          <w:p w14:paraId="0D087AB2" w14:textId="77777777" w:rsidR="00CF37C0" w:rsidRDefault="00CF37C0" w:rsidP="007E16CA">
            <w:pPr>
              <w:contextualSpacing/>
              <w:jc w:val="center"/>
            </w:pPr>
            <w:r>
              <w:t>2/14/17</w:t>
            </w:r>
          </w:p>
        </w:tc>
        <w:tc>
          <w:tcPr>
            <w:tcW w:w="1620" w:type="dxa"/>
            <w:vAlign w:val="center"/>
          </w:tcPr>
          <w:p w14:paraId="1957A3E8" w14:textId="77777777" w:rsidR="00CF37C0" w:rsidRDefault="00CF37C0" w:rsidP="007E16CA">
            <w:pPr>
              <w:jc w:val="center"/>
            </w:pPr>
            <w:r>
              <w:t>2/21/17</w:t>
            </w:r>
          </w:p>
        </w:tc>
        <w:tc>
          <w:tcPr>
            <w:tcW w:w="1839" w:type="dxa"/>
            <w:vAlign w:val="center"/>
          </w:tcPr>
          <w:p w14:paraId="5237B952" w14:textId="77777777" w:rsidR="00CF37C0" w:rsidRDefault="00CF37C0" w:rsidP="007E16CA">
            <w:pPr>
              <w:jc w:val="center"/>
            </w:pPr>
            <w:r>
              <w:t>3/7/17</w:t>
            </w:r>
          </w:p>
        </w:tc>
      </w:tr>
      <w:tr w:rsidR="00CF37C0" w14:paraId="1E788EF9" w14:textId="77777777" w:rsidTr="00E46CDC">
        <w:trPr>
          <w:trHeight w:val="377"/>
        </w:trPr>
        <w:tc>
          <w:tcPr>
            <w:tcW w:w="4945" w:type="dxa"/>
            <w:vAlign w:val="center"/>
          </w:tcPr>
          <w:p w14:paraId="69184FC7" w14:textId="77777777" w:rsidR="00CF37C0" w:rsidRDefault="00CF37C0" w:rsidP="007E16CA">
            <w:pPr>
              <w:contextualSpacing/>
            </w:pPr>
            <w:r>
              <w:t>Frequencies and Descriptive Statistics in SPSS</w:t>
            </w:r>
          </w:p>
        </w:tc>
        <w:tc>
          <w:tcPr>
            <w:tcW w:w="1530" w:type="dxa"/>
            <w:vAlign w:val="center"/>
          </w:tcPr>
          <w:p w14:paraId="64B961FA" w14:textId="77777777" w:rsidR="00CF37C0" w:rsidRDefault="00CF37C0" w:rsidP="007E16CA">
            <w:pPr>
              <w:contextualSpacing/>
              <w:jc w:val="center"/>
            </w:pPr>
            <w:r>
              <w:t>3/14/17</w:t>
            </w:r>
          </w:p>
        </w:tc>
        <w:tc>
          <w:tcPr>
            <w:tcW w:w="1620" w:type="dxa"/>
            <w:vAlign w:val="center"/>
          </w:tcPr>
          <w:p w14:paraId="36F0A81C" w14:textId="77777777" w:rsidR="00CF37C0" w:rsidRDefault="00CF37C0" w:rsidP="007E16CA">
            <w:pPr>
              <w:jc w:val="center"/>
            </w:pPr>
            <w:r>
              <w:t>3/21/17</w:t>
            </w:r>
          </w:p>
        </w:tc>
        <w:tc>
          <w:tcPr>
            <w:tcW w:w="1839" w:type="dxa"/>
            <w:vAlign w:val="center"/>
          </w:tcPr>
          <w:p w14:paraId="496E106A" w14:textId="77777777" w:rsidR="00CF37C0" w:rsidRDefault="00CF37C0" w:rsidP="007E16CA">
            <w:pPr>
              <w:jc w:val="center"/>
            </w:pPr>
            <w:r>
              <w:t>4/4/17</w:t>
            </w:r>
          </w:p>
        </w:tc>
      </w:tr>
      <w:tr w:rsidR="00CF37C0" w14:paraId="7D80651F" w14:textId="77777777" w:rsidTr="00E46CDC">
        <w:trPr>
          <w:trHeight w:val="214"/>
        </w:trPr>
        <w:tc>
          <w:tcPr>
            <w:tcW w:w="4945" w:type="dxa"/>
          </w:tcPr>
          <w:p w14:paraId="12119F7B" w14:textId="77777777" w:rsidR="00CF37C0" w:rsidRDefault="00CF37C0" w:rsidP="007E16CA">
            <w:pPr>
              <w:contextualSpacing/>
            </w:pPr>
            <w:r>
              <w:t>Types of Statistical Tests</w:t>
            </w:r>
          </w:p>
        </w:tc>
        <w:tc>
          <w:tcPr>
            <w:tcW w:w="1530" w:type="dxa"/>
            <w:vAlign w:val="center"/>
          </w:tcPr>
          <w:p w14:paraId="491FEDED" w14:textId="77777777" w:rsidR="00CF37C0" w:rsidRDefault="00CF37C0" w:rsidP="007E16CA">
            <w:pPr>
              <w:contextualSpacing/>
              <w:jc w:val="center"/>
            </w:pPr>
            <w:r>
              <w:t>4/11/17</w:t>
            </w:r>
          </w:p>
        </w:tc>
        <w:tc>
          <w:tcPr>
            <w:tcW w:w="1620" w:type="dxa"/>
            <w:vAlign w:val="center"/>
          </w:tcPr>
          <w:p w14:paraId="68F7786F" w14:textId="77777777" w:rsidR="00CF37C0" w:rsidRDefault="00CF37C0" w:rsidP="007E16CA">
            <w:pPr>
              <w:jc w:val="center"/>
            </w:pPr>
            <w:r>
              <w:t>4/18/17</w:t>
            </w:r>
          </w:p>
        </w:tc>
        <w:tc>
          <w:tcPr>
            <w:tcW w:w="1839" w:type="dxa"/>
            <w:vAlign w:val="center"/>
          </w:tcPr>
          <w:p w14:paraId="78D42445" w14:textId="77777777" w:rsidR="00CF37C0" w:rsidRDefault="00CF37C0" w:rsidP="007E16CA">
            <w:pPr>
              <w:jc w:val="center"/>
            </w:pPr>
            <w:r>
              <w:t>5/2/17</w:t>
            </w:r>
          </w:p>
        </w:tc>
      </w:tr>
      <w:tr w:rsidR="00CF37C0" w14:paraId="2317A921" w14:textId="77777777" w:rsidTr="00E46CDC">
        <w:trPr>
          <w:trHeight w:val="214"/>
        </w:trPr>
        <w:tc>
          <w:tcPr>
            <w:tcW w:w="4945" w:type="dxa"/>
            <w:vAlign w:val="center"/>
          </w:tcPr>
          <w:p w14:paraId="41B4526B" w14:textId="77777777" w:rsidR="00CF37C0" w:rsidRDefault="00CF37C0" w:rsidP="007E16CA">
            <w:pPr>
              <w:contextualSpacing/>
            </w:pPr>
            <w:r>
              <w:t>Conducting tests in SPSS Part 1: t-tests</w:t>
            </w:r>
          </w:p>
        </w:tc>
        <w:tc>
          <w:tcPr>
            <w:tcW w:w="1530" w:type="dxa"/>
            <w:vAlign w:val="center"/>
          </w:tcPr>
          <w:p w14:paraId="3DCAABF6" w14:textId="77777777" w:rsidR="00CF37C0" w:rsidRDefault="00CF37C0" w:rsidP="007E16CA">
            <w:pPr>
              <w:contextualSpacing/>
              <w:jc w:val="center"/>
            </w:pPr>
            <w:r>
              <w:t>5/9/17</w:t>
            </w:r>
          </w:p>
        </w:tc>
        <w:tc>
          <w:tcPr>
            <w:tcW w:w="1620" w:type="dxa"/>
            <w:vAlign w:val="center"/>
          </w:tcPr>
          <w:p w14:paraId="2333D516" w14:textId="77777777" w:rsidR="00CF37C0" w:rsidRDefault="00CF37C0" w:rsidP="007E16CA">
            <w:pPr>
              <w:contextualSpacing/>
              <w:jc w:val="center"/>
            </w:pPr>
            <w:r>
              <w:t>5/16/17</w:t>
            </w:r>
          </w:p>
        </w:tc>
        <w:tc>
          <w:tcPr>
            <w:tcW w:w="1839" w:type="dxa"/>
            <w:vAlign w:val="center"/>
          </w:tcPr>
          <w:p w14:paraId="168262DE" w14:textId="77777777" w:rsidR="00CF37C0" w:rsidRDefault="00CF37C0" w:rsidP="007E16CA">
            <w:pPr>
              <w:contextualSpacing/>
              <w:jc w:val="center"/>
            </w:pPr>
            <w:r>
              <w:t>5/30/17</w:t>
            </w:r>
          </w:p>
        </w:tc>
      </w:tr>
      <w:tr w:rsidR="00CF37C0" w14:paraId="6DDFF8E8" w14:textId="77777777" w:rsidTr="00E46CDC">
        <w:trPr>
          <w:trHeight w:val="214"/>
        </w:trPr>
        <w:tc>
          <w:tcPr>
            <w:tcW w:w="4945" w:type="dxa"/>
            <w:vAlign w:val="center"/>
          </w:tcPr>
          <w:p w14:paraId="5DC01F98" w14:textId="77777777" w:rsidR="00CF37C0" w:rsidRPr="0032186B" w:rsidRDefault="00CF37C0" w:rsidP="007E16CA">
            <w:pPr>
              <w:contextualSpacing/>
            </w:pPr>
            <w:r w:rsidRPr="0032186B">
              <w:t>Conducting tests in SPSS Part 2: ANOVA and Repeated Measures ANOVA</w:t>
            </w:r>
          </w:p>
        </w:tc>
        <w:tc>
          <w:tcPr>
            <w:tcW w:w="1530" w:type="dxa"/>
            <w:vAlign w:val="center"/>
          </w:tcPr>
          <w:p w14:paraId="2E88E46F" w14:textId="77777777" w:rsidR="00CF37C0" w:rsidRPr="0032186B" w:rsidRDefault="00CF37C0" w:rsidP="007E16CA">
            <w:pPr>
              <w:contextualSpacing/>
              <w:jc w:val="center"/>
            </w:pPr>
            <w:r w:rsidRPr="0032186B">
              <w:t>5/30/17</w:t>
            </w:r>
          </w:p>
        </w:tc>
        <w:tc>
          <w:tcPr>
            <w:tcW w:w="1620" w:type="dxa"/>
            <w:vAlign w:val="center"/>
          </w:tcPr>
          <w:p w14:paraId="54B04479" w14:textId="77777777" w:rsidR="00CF37C0" w:rsidRPr="0032186B" w:rsidRDefault="00CF37C0" w:rsidP="007E16CA">
            <w:pPr>
              <w:contextualSpacing/>
              <w:jc w:val="center"/>
            </w:pPr>
            <w:r w:rsidRPr="0032186B">
              <w:t>6/6/17</w:t>
            </w:r>
          </w:p>
        </w:tc>
        <w:tc>
          <w:tcPr>
            <w:tcW w:w="1839" w:type="dxa"/>
            <w:vAlign w:val="center"/>
          </w:tcPr>
          <w:p w14:paraId="093FC11C" w14:textId="77777777" w:rsidR="00CF37C0" w:rsidRPr="0032186B" w:rsidRDefault="00CF37C0" w:rsidP="007E16CA">
            <w:pPr>
              <w:contextualSpacing/>
              <w:jc w:val="center"/>
            </w:pPr>
            <w:r w:rsidRPr="0032186B">
              <w:t>6/20/17</w:t>
            </w:r>
          </w:p>
        </w:tc>
      </w:tr>
      <w:tr w:rsidR="00CF37C0" w14:paraId="469656D9" w14:textId="77777777" w:rsidTr="00E46CDC">
        <w:trPr>
          <w:trHeight w:val="214"/>
        </w:trPr>
        <w:tc>
          <w:tcPr>
            <w:tcW w:w="4945" w:type="dxa"/>
            <w:vAlign w:val="center"/>
          </w:tcPr>
          <w:p w14:paraId="445CBCCA" w14:textId="77777777" w:rsidR="00CF37C0" w:rsidRDefault="00CF37C0" w:rsidP="007E16CA">
            <w:pPr>
              <w:contextualSpacing/>
            </w:pPr>
            <w:r>
              <w:t>Conducting tests in SPSS Part 3: Correlation and Regression</w:t>
            </w:r>
          </w:p>
        </w:tc>
        <w:tc>
          <w:tcPr>
            <w:tcW w:w="1530" w:type="dxa"/>
            <w:vAlign w:val="center"/>
          </w:tcPr>
          <w:p w14:paraId="34C3696D" w14:textId="77777777" w:rsidR="00CF37C0" w:rsidRDefault="00CF37C0" w:rsidP="007E16CA">
            <w:pPr>
              <w:contextualSpacing/>
              <w:jc w:val="center"/>
            </w:pPr>
            <w:r>
              <w:t>7/11/17</w:t>
            </w:r>
          </w:p>
        </w:tc>
        <w:tc>
          <w:tcPr>
            <w:tcW w:w="1620" w:type="dxa"/>
            <w:vAlign w:val="center"/>
          </w:tcPr>
          <w:p w14:paraId="47B03E7C" w14:textId="77777777" w:rsidR="00CF37C0" w:rsidRDefault="00CF37C0" w:rsidP="007E16CA">
            <w:pPr>
              <w:contextualSpacing/>
              <w:jc w:val="center"/>
            </w:pPr>
            <w:r>
              <w:t>7/18/17</w:t>
            </w:r>
          </w:p>
        </w:tc>
        <w:tc>
          <w:tcPr>
            <w:tcW w:w="1839" w:type="dxa"/>
            <w:vAlign w:val="center"/>
          </w:tcPr>
          <w:p w14:paraId="4F59E440" w14:textId="77777777" w:rsidR="00CF37C0" w:rsidRDefault="00CF37C0" w:rsidP="007E16CA">
            <w:pPr>
              <w:contextualSpacing/>
              <w:jc w:val="center"/>
            </w:pPr>
            <w:r>
              <w:t>8/1/17</w:t>
            </w:r>
          </w:p>
        </w:tc>
      </w:tr>
      <w:tr w:rsidR="00CF37C0" w14:paraId="6484C01F" w14:textId="77777777" w:rsidTr="00E46CDC">
        <w:trPr>
          <w:trHeight w:val="214"/>
        </w:trPr>
        <w:tc>
          <w:tcPr>
            <w:tcW w:w="4945" w:type="dxa"/>
            <w:vAlign w:val="center"/>
          </w:tcPr>
          <w:p w14:paraId="108E9661" w14:textId="77777777" w:rsidR="00CF37C0" w:rsidRDefault="00CF37C0" w:rsidP="007E16CA">
            <w:pPr>
              <w:contextualSpacing/>
            </w:pPr>
            <w:bookmarkStart w:id="0" w:name="_GoBack"/>
            <w:r>
              <w:t>Conducting tests in SPSS Part 4: Reliability and Factor Analysis</w:t>
            </w:r>
            <w:bookmarkEnd w:id="0"/>
          </w:p>
        </w:tc>
        <w:tc>
          <w:tcPr>
            <w:tcW w:w="1530" w:type="dxa"/>
            <w:vAlign w:val="center"/>
          </w:tcPr>
          <w:p w14:paraId="492BCF05" w14:textId="77777777" w:rsidR="00CF37C0" w:rsidRDefault="00CF37C0" w:rsidP="007E16CA">
            <w:pPr>
              <w:contextualSpacing/>
              <w:jc w:val="center"/>
            </w:pPr>
            <w:r>
              <w:t>8/8/17</w:t>
            </w:r>
          </w:p>
        </w:tc>
        <w:tc>
          <w:tcPr>
            <w:tcW w:w="1620" w:type="dxa"/>
            <w:vAlign w:val="center"/>
          </w:tcPr>
          <w:p w14:paraId="30B1CD1B" w14:textId="77777777" w:rsidR="00CF37C0" w:rsidRDefault="00CF37C0" w:rsidP="007E16CA">
            <w:pPr>
              <w:contextualSpacing/>
              <w:jc w:val="center"/>
            </w:pPr>
            <w:r>
              <w:t>8/15/17</w:t>
            </w:r>
          </w:p>
        </w:tc>
        <w:tc>
          <w:tcPr>
            <w:tcW w:w="1839" w:type="dxa"/>
            <w:vAlign w:val="center"/>
          </w:tcPr>
          <w:p w14:paraId="301659EE" w14:textId="77777777" w:rsidR="00CF37C0" w:rsidRDefault="00CF37C0" w:rsidP="007E16CA">
            <w:pPr>
              <w:contextualSpacing/>
              <w:jc w:val="center"/>
            </w:pPr>
            <w:r>
              <w:t>8/29/17</w:t>
            </w:r>
          </w:p>
        </w:tc>
      </w:tr>
    </w:tbl>
    <w:p w14:paraId="53CB5C19" w14:textId="77777777" w:rsidR="00CF37C0" w:rsidRDefault="00CF37C0" w:rsidP="00CF37C0">
      <w:pPr>
        <w:spacing w:after="0" w:line="240" w:lineRule="auto"/>
      </w:pPr>
    </w:p>
    <w:p w14:paraId="350BDCCD" w14:textId="39378880" w:rsidR="00CF37C0" w:rsidRDefault="00C8522D">
      <w:r>
        <w:t xml:space="preserve">To </w:t>
      </w:r>
      <w:r w:rsidR="00C11C4F">
        <w:t>enroll, please see the “Enrollment Instructions” attachment.</w:t>
      </w:r>
    </w:p>
    <w:sectPr w:rsidR="00CF37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70F78" w14:textId="77777777" w:rsidR="002E68E5" w:rsidRDefault="002E68E5" w:rsidP="0060332B">
      <w:pPr>
        <w:spacing w:after="0" w:line="240" w:lineRule="auto"/>
      </w:pPr>
      <w:r>
        <w:separator/>
      </w:r>
    </w:p>
  </w:endnote>
  <w:endnote w:type="continuationSeparator" w:id="0">
    <w:p w14:paraId="0A30917C" w14:textId="77777777" w:rsidR="002E68E5" w:rsidRDefault="002E68E5" w:rsidP="0060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32539" w14:textId="77777777" w:rsidR="002E68E5" w:rsidRDefault="002E68E5" w:rsidP="0060332B">
      <w:pPr>
        <w:spacing w:after="0" w:line="240" w:lineRule="auto"/>
      </w:pPr>
      <w:r>
        <w:separator/>
      </w:r>
    </w:p>
  </w:footnote>
  <w:footnote w:type="continuationSeparator" w:id="0">
    <w:p w14:paraId="27FE3E25" w14:textId="77777777" w:rsidR="002E68E5" w:rsidRDefault="002E68E5" w:rsidP="00603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73"/>
    <w:rsid w:val="00021F5D"/>
    <w:rsid w:val="000E0E6C"/>
    <w:rsid w:val="001267AB"/>
    <w:rsid w:val="001867C4"/>
    <w:rsid w:val="0019158B"/>
    <w:rsid w:val="00217DC8"/>
    <w:rsid w:val="00271BF8"/>
    <w:rsid w:val="002B1055"/>
    <w:rsid w:val="002E68E5"/>
    <w:rsid w:val="00426414"/>
    <w:rsid w:val="0045026D"/>
    <w:rsid w:val="004D2DDF"/>
    <w:rsid w:val="0060332B"/>
    <w:rsid w:val="00627E69"/>
    <w:rsid w:val="00653DCD"/>
    <w:rsid w:val="00695052"/>
    <w:rsid w:val="0070580D"/>
    <w:rsid w:val="007B4D41"/>
    <w:rsid w:val="008142D3"/>
    <w:rsid w:val="008845FD"/>
    <w:rsid w:val="008F351B"/>
    <w:rsid w:val="00903442"/>
    <w:rsid w:val="009B5E5E"/>
    <w:rsid w:val="009C3D73"/>
    <w:rsid w:val="009F74F7"/>
    <w:rsid w:val="00A25806"/>
    <w:rsid w:val="00A270C4"/>
    <w:rsid w:val="00A75EFA"/>
    <w:rsid w:val="00BD6228"/>
    <w:rsid w:val="00BF3B45"/>
    <w:rsid w:val="00C11C4F"/>
    <w:rsid w:val="00C8522D"/>
    <w:rsid w:val="00CF37C0"/>
    <w:rsid w:val="00D92220"/>
    <w:rsid w:val="00DC7404"/>
    <w:rsid w:val="00DF6ABD"/>
    <w:rsid w:val="00E12144"/>
    <w:rsid w:val="00E46CDC"/>
    <w:rsid w:val="00E97CE6"/>
    <w:rsid w:val="00F72E98"/>
    <w:rsid w:val="00FC0A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AA81"/>
  <w15:chartTrackingRefBased/>
  <w15:docId w15:val="{610148AA-DE43-48C9-ABBB-D14BAB9E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67C4"/>
  </w:style>
  <w:style w:type="paragraph" w:styleId="Heading1">
    <w:name w:val="heading 1"/>
    <w:basedOn w:val="Normal"/>
    <w:next w:val="Normal"/>
    <w:link w:val="Heading1Char"/>
    <w:uiPriority w:val="9"/>
    <w:qFormat/>
    <w:rsid w:val="001867C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867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7C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867C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867C4"/>
    <w:pPr>
      <w:ind w:left="720"/>
      <w:contextualSpacing/>
    </w:pPr>
  </w:style>
  <w:style w:type="character" w:styleId="SubtleReference">
    <w:name w:val="Subtle Reference"/>
    <w:basedOn w:val="DefaultParagraphFont"/>
    <w:uiPriority w:val="31"/>
    <w:qFormat/>
    <w:rsid w:val="009B5E5E"/>
    <w:rPr>
      <w:smallCaps/>
      <w:color w:val="5A5A5A" w:themeColor="text1" w:themeTint="A5"/>
    </w:rPr>
  </w:style>
  <w:style w:type="character" w:styleId="IntenseReference">
    <w:name w:val="Intense Reference"/>
    <w:basedOn w:val="DefaultParagraphFont"/>
    <w:uiPriority w:val="32"/>
    <w:qFormat/>
    <w:rsid w:val="009B5E5E"/>
    <w:rPr>
      <w:b/>
      <w:bCs/>
      <w:smallCaps/>
      <w:color w:val="4F81BD" w:themeColor="accent1"/>
      <w:spacing w:val="5"/>
    </w:rPr>
  </w:style>
  <w:style w:type="paragraph" w:styleId="TOCHeading">
    <w:name w:val="TOC Heading"/>
    <w:basedOn w:val="Heading1"/>
    <w:next w:val="Normal"/>
    <w:uiPriority w:val="39"/>
    <w:unhideWhenUsed/>
    <w:qFormat/>
    <w:rsid w:val="001867C4"/>
    <w:pPr>
      <w:spacing w:line="276" w:lineRule="auto"/>
      <w:outlineLvl w:val="9"/>
    </w:pPr>
    <w:rPr>
      <w:color w:val="365F91" w:themeColor="accent1" w:themeShade="BF"/>
      <w:sz w:val="28"/>
      <w:szCs w:val="28"/>
    </w:rPr>
  </w:style>
  <w:style w:type="table" w:styleId="TableGrid">
    <w:name w:val="Table Grid"/>
    <w:basedOn w:val="TableNormal"/>
    <w:uiPriority w:val="39"/>
    <w:rsid w:val="00CF3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8522D"/>
    <w:rPr>
      <w:color w:val="0000FF"/>
      <w:u w:val="single"/>
    </w:rPr>
  </w:style>
  <w:style w:type="character" w:styleId="FollowedHyperlink">
    <w:name w:val="FollowedHyperlink"/>
    <w:basedOn w:val="DefaultParagraphFont"/>
    <w:uiPriority w:val="99"/>
    <w:semiHidden/>
    <w:unhideWhenUsed/>
    <w:rsid w:val="00C8522D"/>
    <w:rPr>
      <w:color w:val="800080" w:themeColor="followedHyperlink"/>
      <w:u w:val="single"/>
    </w:rPr>
  </w:style>
  <w:style w:type="character" w:styleId="CommentReference">
    <w:name w:val="annotation reference"/>
    <w:basedOn w:val="DefaultParagraphFont"/>
    <w:uiPriority w:val="99"/>
    <w:semiHidden/>
    <w:unhideWhenUsed/>
    <w:rsid w:val="00021F5D"/>
    <w:rPr>
      <w:sz w:val="16"/>
      <w:szCs w:val="16"/>
    </w:rPr>
  </w:style>
  <w:style w:type="paragraph" w:styleId="CommentText">
    <w:name w:val="annotation text"/>
    <w:basedOn w:val="Normal"/>
    <w:link w:val="CommentTextChar"/>
    <w:uiPriority w:val="99"/>
    <w:semiHidden/>
    <w:unhideWhenUsed/>
    <w:rsid w:val="00021F5D"/>
    <w:pPr>
      <w:spacing w:line="240" w:lineRule="auto"/>
    </w:pPr>
    <w:rPr>
      <w:sz w:val="20"/>
      <w:szCs w:val="20"/>
    </w:rPr>
  </w:style>
  <w:style w:type="character" w:customStyle="1" w:styleId="CommentTextChar">
    <w:name w:val="Comment Text Char"/>
    <w:basedOn w:val="DefaultParagraphFont"/>
    <w:link w:val="CommentText"/>
    <w:uiPriority w:val="99"/>
    <w:semiHidden/>
    <w:rsid w:val="00021F5D"/>
    <w:rPr>
      <w:sz w:val="20"/>
      <w:szCs w:val="20"/>
    </w:rPr>
  </w:style>
  <w:style w:type="paragraph" w:styleId="CommentSubject">
    <w:name w:val="annotation subject"/>
    <w:basedOn w:val="CommentText"/>
    <w:next w:val="CommentText"/>
    <w:link w:val="CommentSubjectChar"/>
    <w:uiPriority w:val="99"/>
    <w:semiHidden/>
    <w:unhideWhenUsed/>
    <w:rsid w:val="00021F5D"/>
    <w:rPr>
      <w:b/>
      <w:bCs/>
    </w:rPr>
  </w:style>
  <w:style w:type="character" w:customStyle="1" w:styleId="CommentSubjectChar">
    <w:name w:val="Comment Subject Char"/>
    <w:basedOn w:val="CommentTextChar"/>
    <w:link w:val="CommentSubject"/>
    <w:uiPriority w:val="99"/>
    <w:semiHidden/>
    <w:rsid w:val="00021F5D"/>
    <w:rPr>
      <w:b/>
      <w:bCs/>
      <w:sz w:val="20"/>
      <w:szCs w:val="20"/>
    </w:rPr>
  </w:style>
  <w:style w:type="paragraph" w:styleId="BalloonText">
    <w:name w:val="Balloon Text"/>
    <w:basedOn w:val="Normal"/>
    <w:link w:val="BalloonTextChar"/>
    <w:uiPriority w:val="99"/>
    <w:semiHidden/>
    <w:unhideWhenUsed/>
    <w:rsid w:val="00021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F5D"/>
    <w:rPr>
      <w:rFonts w:ascii="Segoe UI" w:hAnsi="Segoe UI" w:cs="Segoe UI"/>
      <w:sz w:val="18"/>
      <w:szCs w:val="18"/>
    </w:rPr>
  </w:style>
  <w:style w:type="paragraph" w:styleId="Header">
    <w:name w:val="header"/>
    <w:basedOn w:val="Normal"/>
    <w:link w:val="HeaderChar"/>
    <w:uiPriority w:val="99"/>
    <w:unhideWhenUsed/>
    <w:rsid w:val="00603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32B"/>
  </w:style>
  <w:style w:type="paragraph" w:styleId="Footer">
    <w:name w:val="footer"/>
    <w:basedOn w:val="Normal"/>
    <w:link w:val="FooterChar"/>
    <w:uiPriority w:val="99"/>
    <w:unhideWhenUsed/>
    <w:rsid w:val="00603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campus.extensi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M Lewis</dc:creator>
  <cp:keywords/>
  <dc:description/>
  <cp:lastModifiedBy>Pamela S Kan-Rice</cp:lastModifiedBy>
  <cp:revision>2</cp:revision>
  <dcterms:created xsi:type="dcterms:W3CDTF">2017-07-07T00:55:00Z</dcterms:created>
  <dcterms:modified xsi:type="dcterms:W3CDTF">2017-07-07T00:55:00Z</dcterms:modified>
</cp:coreProperties>
</file>