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67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EF790F" w:rsidRPr="00826B47" w14:paraId="64C7A078" w14:textId="77777777" w:rsidTr="00EF790F">
        <w:trPr>
          <w:trHeight w:val="315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AD6B" w14:textId="77777777" w:rsidR="00EF790F" w:rsidRPr="00826B47" w:rsidRDefault="00EF790F" w:rsidP="00EF79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On-farm Practice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for Conservation</w:t>
            </w:r>
          </w:p>
        </w:tc>
        <w:tc>
          <w:tcPr>
            <w:tcW w:w="5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B7D496" w14:textId="77777777" w:rsidR="00EF790F" w:rsidRPr="002F04AE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Fruits and Nuts</w:t>
            </w:r>
          </w:p>
        </w:tc>
        <w:tc>
          <w:tcPr>
            <w:tcW w:w="584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5BDB" w14:textId="77777777" w:rsidR="00EF790F" w:rsidRPr="002F04AE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Vegetables and Melons</w:t>
            </w:r>
          </w:p>
        </w:tc>
      </w:tr>
      <w:tr w:rsidR="00EF790F" w:rsidRPr="00826B47" w14:paraId="1C162744" w14:textId="77777777" w:rsidTr="00EF790F">
        <w:trPr>
          <w:trHeight w:val="315"/>
        </w:trPr>
        <w:tc>
          <w:tcPr>
            <w:tcW w:w="27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979" w14:textId="77777777" w:rsidR="00EF790F" w:rsidRPr="00826B47" w:rsidRDefault="00EF790F" w:rsidP="00826B4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16CA" w14:textId="77777777" w:rsidR="00EF790F" w:rsidRPr="00826B47" w:rsidRDefault="00EF790F" w:rsidP="00826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N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296F" w14:textId="77777777" w:rsidR="00EF790F" w:rsidRPr="002F04AE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Effect of O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rganic Status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BF7072" w14:textId="77777777" w:rsidR="00EF790F" w:rsidRPr="002F04AE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Effect of Farm Size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F8D" w14:textId="77777777" w:rsidR="00EF790F" w:rsidRPr="00826B47" w:rsidRDefault="00EF790F" w:rsidP="00826B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N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3A8B" w14:textId="77777777" w:rsidR="00EF790F" w:rsidRPr="002F04AE" w:rsidRDefault="00EF790F" w:rsidP="005B0993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Effect of Organic Status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DAC9" w14:textId="77777777" w:rsidR="00EF790F" w:rsidRPr="002F04AE" w:rsidRDefault="00EF790F" w:rsidP="005B0993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Effect of Farm Size</w:t>
            </w:r>
          </w:p>
        </w:tc>
      </w:tr>
      <w:tr w:rsidR="00EF790F" w:rsidRPr="00826B47" w14:paraId="72814198" w14:textId="77777777" w:rsidTr="00EF790F">
        <w:trPr>
          <w:trHeight w:val="315"/>
        </w:trPr>
        <w:tc>
          <w:tcPr>
            <w:tcW w:w="27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11CE" w14:textId="77777777" w:rsidR="00EF790F" w:rsidRPr="00826B47" w:rsidRDefault="00EF790F" w:rsidP="00826B47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4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C4DB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E82A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β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6E99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χ</w:t>
            </w:r>
            <w:r w:rsidRPr="00A218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A72C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F050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P*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2926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β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427D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χ</w:t>
            </w:r>
            <w:r w:rsidRPr="00A218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B47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6902C7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P*</w:t>
            </w:r>
          </w:p>
        </w:tc>
        <w:tc>
          <w:tcPr>
            <w:tcW w:w="64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59EB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6D1A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β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6B65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χ</w:t>
            </w:r>
            <w:r w:rsidRPr="00A218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B95E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FD0C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P*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B484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β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F469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χ</w:t>
            </w:r>
            <w:r w:rsidRPr="00A218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2C6B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01A1" w14:textId="77777777" w:rsidR="00EF790F" w:rsidRPr="00826B47" w:rsidRDefault="00EF790F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P*</w:t>
            </w:r>
          </w:p>
        </w:tc>
      </w:tr>
      <w:tr w:rsidR="002F04AE" w:rsidRPr="00826B47" w14:paraId="6AA2E2FE" w14:textId="77777777" w:rsidTr="0056424F">
        <w:trPr>
          <w:trHeight w:val="315"/>
        </w:trPr>
        <w:tc>
          <w:tcPr>
            <w:tcW w:w="2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68B1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Bird nest boxes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2D8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300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B57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0.53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6D4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3.61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B2E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0.06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22A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0.18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5F9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0.38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3EE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2.58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36D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0.11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4A048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0.26</w:t>
            </w:r>
          </w:p>
        </w:tc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E77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74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6E5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0.71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E7D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1.40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A34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0.24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DC6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0.43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B1C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-0.14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399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0.04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299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0.84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020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0.91</w:t>
            </w:r>
          </w:p>
        </w:tc>
      </w:tr>
      <w:tr w:rsidR="002F04AE" w:rsidRPr="00826B47" w14:paraId="773BA6AB" w14:textId="77777777" w:rsidTr="001B1618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EB0E4E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Constructed wetland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908C9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6F71C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6C93B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6CBF8E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FD9B2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35141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50545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FE72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142F9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71AA6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A45F9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F3A94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B0D916" w14:textId="77777777" w:rsidR="00826B47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="00826B47"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84FCD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E52B9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4EA2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7FF3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7808F" w14:textId="77777777" w:rsidR="00826B47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="00826B47"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2F04AE" w:rsidRPr="00826B47" w14:paraId="4269CDF6" w14:textId="77777777" w:rsidTr="0056424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E6B8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Release of biocontrol agents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F4F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671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239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6.80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09AE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506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1A0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F7C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23.40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3FF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F51EC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02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7A2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BD3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8.68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2C9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49D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AFE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C88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4.42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87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91F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0.13</w:t>
            </w:r>
          </w:p>
        </w:tc>
      </w:tr>
      <w:tr w:rsidR="002F04AE" w:rsidRPr="00826B47" w14:paraId="1A2FC31A" w14:textId="77777777" w:rsidTr="001B1618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0F268A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Native bee nest boxes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46639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82BA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600A5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4.42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79E04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9D1B6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31B0B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56067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43123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1DD18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0.85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FBAE7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61BCB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91810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2.99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0F235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CB6C8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0EC85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-1.72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96B7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6.91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0D236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13F87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0.04</w:t>
            </w:r>
          </w:p>
        </w:tc>
      </w:tr>
      <w:tr w:rsidR="002F04AE" w:rsidRPr="00826B47" w14:paraId="6968260C" w14:textId="77777777" w:rsidTr="0056424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7637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Beetle banks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F78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67FD" w14:textId="77777777" w:rsidR="00826B47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="00826B47"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1C3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4D5E" w14:textId="77777777" w:rsidR="00826B47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="00826B47"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D6B4" w14:textId="77777777" w:rsidR="00826B47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="00826B47"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A32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573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FF1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990A37" w14:textId="77777777" w:rsidR="00826B47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="00826B47"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AE2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1323" w14:textId="77777777" w:rsidR="00826B47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="00826B47"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F5D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0D11" w14:textId="77777777" w:rsidR="00826B47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="00826B47"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4395" w14:textId="77777777" w:rsidR="00826B47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="00826B47"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6F0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B5A8" w14:textId="77777777" w:rsidR="00826B47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="00826B47"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9A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 w:rsidR="002F04AE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C909" w14:textId="77777777" w:rsidR="00826B47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="00826B47"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2F04AE" w:rsidRPr="00826B47" w14:paraId="4DFAF856" w14:textId="77777777" w:rsidTr="001B1618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889B03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Integrated Pest Management (IPM)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AF973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48B34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12A1A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CF7A7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9A5DC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0BA13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3558C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17.72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9ADBC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EE17D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1575F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5A422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A843A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3.62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376E8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98E2D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429D0E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2.70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900B3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13.99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AEA6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CEB4CE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</w:tr>
      <w:tr w:rsidR="002F04AE" w:rsidRPr="00826B47" w14:paraId="2A80D04A" w14:textId="77777777" w:rsidTr="0056424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C93E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Flower or native plant strips to attract natural pest predators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2CB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00A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4CF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17.56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CB8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5A3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4EE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694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AA9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4AA4D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B07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2E4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701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13.84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311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1A7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1C8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E2E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983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7FC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0.48</w:t>
            </w:r>
          </w:p>
        </w:tc>
      </w:tr>
      <w:tr w:rsidR="002F04AE" w:rsidRPr="00826B47" w14:paraId="57E0A894" w14:textId="77777777" w:rsidTr="001B1618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C36141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Flower or native plant strips for native pollinators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6C13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DE790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6B20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16.12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797DC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DA379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92A97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B1FE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82CDAE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198F5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9CAB4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63EF9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EAD55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7.42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08070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02AB3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6FAA7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-1.50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EA406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7.42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B5DF0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3AC69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0.04</w:t>
            </w:r>
          </w:p>
        </w:tc>
      </w:tr>
      <w:tr w:rsidR="002F04AE" w:rsidRPr="00826B47" w14:paraId="1CB4CEE2" w14:textId="77777777" w:rsidTr="0056424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1ED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Hedgerow or windbreak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9AF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0F2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57E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2.63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7DA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59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C33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1A9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3.57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9A8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2D0E4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0.18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70F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C17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F21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4.11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24B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2BF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A39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5B5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A68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F43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0.91</w:t>
            </w:r>
          </w:p>
        </w:tc>
      </w:tr>
      <w:tr w:rsidR="002F04AE" w:rsidRPr="00826B47" w14:paraId="77196DCE" w14:textId="77777777" w:rsidTr="001B1618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717E34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Grassed waterways or roads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03836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D40F0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527EB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D47BF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476D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6FF43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F8C13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192FA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45D6E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51854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3B5B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0EDFC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AAEAC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FC6FF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61052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0F13D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7F55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0B0DB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0.66</w:t>
            </w:r>
          </w:p>
        </w:tc>
      </w:tr>
      <w:tr w:rsidR="002F04AE" w:rsidRPr="00826B47" w14:paraId="1BC45608" w14:textId="77777777" w:rsidTr="0056424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799D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Riparian/stream bank restoration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469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DE6E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F80E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FF9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EB4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A47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4B9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2.72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8C7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D2A78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0.25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522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165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9E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16D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147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BA9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92D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32D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56E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0.57</w:t>
            </w:r>
          </w:p>
        </w:tc>
      </w:tr>
      <w:tr w:rsidR="002F04AE" w:rsidRPr="00826B47" w14:paraId="052B1560" w14:textId="77777777" w:rsidTr="001B1618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253085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Sediment or </w:t>
            </w:r>
            <w:proofErr w:type="spellStart"/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stormwater</w:t>
            </w:r>
            <w:proofErr w:type="spellEnd"/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basin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3405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877A1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64427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559A5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0F5C7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B1F0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C2AC5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11.91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B043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BD6DB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263CF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FD16B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5D153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02C0C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AB8E0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491A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2.06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04E88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11.56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A08C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0F332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0.01</w:t>
            </w:r>
          </w:p>
        </w:tc>
      </w:tr>
      <w:tr w:rsidR="002F04AE" w:rsidRPr="00826B47" w14:paraId="4DE56269" w14:textId="77777777" w:rsidTr="0056424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B70D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Tailwater</w:t>
            </w:r>
            <w:proofErr w:type="spellEnd"/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recovery ponds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49E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CF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DF8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E32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8BE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58B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391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10.89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244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45166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605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757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8AC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F79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7E9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A18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2.22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973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11.55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2D8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14D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0.01</w:t>
            </w:r>
          </w:p>
        </w:tc>
      </w:tr>
      <w:tr w:rsidR="002F04AE" w:rsidRPr="00826B47" w14:paraId="6F941146" w14:textId="77777777" w:rsidTr="001B1618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FD4736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Vegetated filter or buffer strips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1D72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6F83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2D06B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2.86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643F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4A0CC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D946D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7FC5C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3.34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D3400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4D2DF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E9C84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B6352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22B4E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1.53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8396B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3950A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D7172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9F943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627E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3475B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0.67</w:t>
            </w:r>
          </w:p>
        </w:tc>
      </w:tr>
      <w:tr w:rsidR="001B1618" w:rsidRPr="00826B47" w14:paraId="69F8C321" w14:textId="77777777" w:rsidTr="0056424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A2B1" w14:textId="77777777" w:rsidR="001B1618" w:rsidRPr="00826B47" w:rsidRDefault="001B1618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Vegetated treatment system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2850" w14:textId="77777777" w:rsidR="001B1618" w:rsidRPr="00826B47" w:rsidRDefault="001B1618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281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2788" w14:textId="77777777" w:rsidR="001B1618" w:rsidRPr="00826B47" w:rsidRDefault="001B1618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552A" w14:textId="77777777" w:rsidR="001B1618" w:rsidRPr="00826B47" w:rsidRDefault="001B1618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2.12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EE0C" w14:textId="77777777" w:rsidR="001B1618" w:rsidRPr="00826B47" w:rsidRDefault="001B1618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0844" w14:textId="77777777" w:rsidR="001B1618" w:rsidRPr="00826B47" w:rsidRDefault="001B1618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0499" w14:textId="77777777" w:rsidR="001B1618" w:rsidRPr="00826B47" w:rsidRDefault="001B1618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50FF" w14:textId="77777777" w:rsidR="001B1618" w:rsidRPr="00826B47" w:rsidRDefault="001B1618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4ABD" w14:textId="77777777" w:rsidR="001B1618" w:rsidRPr="00826B47" w:rsidRDefault="001B1618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DFF121" w14:textId="77777777" w:rsidR="001B1618" w:rsidRPr="00826B47" w:rsidRDefault="001B1618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0.94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48DE" w14:textId="77777777" w:rsidR="001B1618" w:rsidRPr="00826B47" w:rsidRDefault="001B1618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4A3B" w14:textId="77777777" w:rsidR="001B1618" w:rsidRPr="00826B47" w:rsidRDefault="001B1618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B49E" w14:textId="77777777" w:rsidR="001B1618" w:rsidRPr="00826B47" w:rsidRDefault="001B1618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DC8E" w14:textId="77777777" w:rsidR="001B1618" w:rsidRPr="00826B47" w:rsidRDefault="001B1618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EE2D" w14:textId="77777777" w:rsidR="001B1618" w:rsidRPr="00826B47" w:rsidRDefault="001B1618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3632" w14:textId="77777777" w:rsidR="001B1618" w:rsidRPr="00826B47" w:rsidRDefault="001B1618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1421" w14:textId="77777777" w:rsidR="001B1618" w:rsidRPr="00826B47" w:rsidRDefault="001B1618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E20C" w14:textId="77777777" w:rsidR="001B1618" w:rsidRPr="00826B47" w:rsidRDefault="001B1618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B8B5" w14:textId="77777777" w:rsidR="001B1618" w:rsidRPr="00826B47" w:rsidRDefault="001B1618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2F04AE" w:rsidRPr="00826B47" w14:paraId="738B833A" w14:textId="77777777" w:rsidTr="001B1618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62BEDB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No-till agriculture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40805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879C7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8935A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DC0DA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048C2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82446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87A98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3.09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7F155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62126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68DFE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6326C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D40D3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0BDE2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6916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14F35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7F8B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9C7F0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C242D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0.60</w:t>
            </w:r>
          </w:p>
        </w:tc>
      </w:tr>
      <w:tr w:rsidR="002F04AE" w:rsidRPr="00826B47" w14:paraId="234DD3B1" w14:textId="77777777" w:rsidTr="0056424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46C6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Cover cropping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F9C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3E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ACE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10.70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F6A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E30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36E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F2D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2.89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016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3C1B2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9E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162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C73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0038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E2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D5A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-0.20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EEE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86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226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0.85</w:t>
            </w:r>
          </w:p>
        </w:tc>
      </w:tr>
      <w:tr w:rsidR="002F04AE" w:rsidRPr="00826B47" w14:paraId="358FDFB4" w14:textId="77777777" w:rsidTr="001B1618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BEFF32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Crop rotation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510F7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AE3B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8F49D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13.17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0F71F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944D4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646A6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52458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24.14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417B7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2B86D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E189F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761BE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1A151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A8AE1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2A5BF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1665B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48578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518A5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33FD7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2F04AE" w:rsidRPr="00826B47" w14:paraId="691B3FC0" w14:textId="77777777" w:rsidTr="0056424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C093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Physically heat treated soil amendments containing animal manure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AC7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C5E0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D80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14.43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3A1E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65D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CEB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1.53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0161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22.61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9C1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61CF0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950F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3ABC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39C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6E52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104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B75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D4F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5A6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D90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0.76</w:t>
            </w:r>
          </w:p>
        </w:tc>
      </w:tr>
      <w:tr w:rsidR="002F04AE" w:rsidRPr="00826B47" w14:paraId="1660FC32" w14:textId="77777777" w:rsidTr="001B1618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6985A9" w14:textId="77777777" w:rsidR="00826B47" w:rsidRPr="00826B47" w:rsidRDefault="00826B47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Fully composted, not physically heat treated, soil amendments containing animal manure or animal products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398739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585F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F098DD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3.31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252B1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F375F7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013F54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E72EA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F51B1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1D7FE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C0710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BCBE5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DEA3D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1.27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40243B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ABCF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EFCE75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-1.51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D034FA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4.72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8CFF76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3124E3" w14:textId="77777777" w:rsidR="00826B47" w:rsidRPr="00826B47" w:rsidRDefault="00826B47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0.12</w:t>
            </w:r>
          </w:p>
        </w:tc>
      </w:tr>
      <w:tr w:rsidR="002F04AE" w:rsidRPr="00826B47" w14:paraId="42E8B869" w14:textId="77777777" w:rsidTr="00A21850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DAF0" w14:textId="77777777" w:rsidR="002F04AE" w:rsidRPr="00826B47" w:rsidRDefault="002F04AE" w:rsidP="000B39CA">
            <w:pPr>
              <w:spacing w:after="0" w:line="240" w:lineRule="auto"/>
              <w:ind w:left="85" w:hanging="85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Raw Manure, green waste or other non-composted soil amendment containing animal products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FBAF" w14:textId="77777777" w:rsidR="002F04AE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287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41E4" w14:textId="77777777" w:rsidR="002F04AE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-1.28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8F17" w14:textId="77777777" w:rsidR="002F04AE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3.92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0EDE" w14:textId="77777777" w:rsidR="002F04AE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0.05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641" w14:textId="77777777" w:rsidR="002F04AE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49A7" w14:textId="77777777" w:rsidR="002F04AE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4CC" w14:textId="77777777" w:rsidR="002F04AE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6398" w14:textId="77777777" w:rsidR="002F04AE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337B82" w14:textId="77777777" w:rsidR="002F04AE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0.52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1A65" w14:textId="77777777" w:rsidR="002F04AE" w:rsidRPr="00826B47" w:rsidRDefault="002F04AE" w:rsidP="00826B47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6B50" w14:textId="77777777" w:rsidR="002F04AE" w:rsidRPr="00826B47" w:rsidRDefault="002F04AE" w:rsidP="005B0993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8EA4" w14:textId="77777777" w:rsidR="002F04AE" w:rsidRPr="00826B47" w:rsidRDefault="002F04AE" w:rsidP="005B0993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F45B" w14:textId="77777777" w:rsidR="002F04AE" w:rsidRPr="00826B47" w:rsidRDefault="002F04AE" w:rsidP="005B0993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B8A" w14:textId="77777777" w:rsidR="002F04AE" w:rsidRPr="00826B47" w:rsidRDefault="002F04AE" w:rsidP="005B0993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16DC" w14:textId="77777777" w:rsidR="002F04AE" w:rsidRPr="00826B47" w:rsidRDefault="002F04AE" w:rsidP="005B0993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EBEE" w14:textId="77777777" w:rsidR="002F04AE" w:rsidRPr="00826B47" w:rsidRDefault="002F04AE" w:rsidP="005B0993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0CF6" w14:textId="77777777" w:rsidR="002F04AE" w:rsidRPr="00826B47" w:rsidRDefault="002F04AE" w:rsidP="005B0993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AD1" w14:textId="77777777" w:rsidR="002F04AE" w:rsidRPr="00826B47" w:rsidRDefault="002F04AE" w:rsidP="005B0993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-</w:t>
            </w:r>
            <w:r w:rsidRPr="00826B47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21850" w:rsidRPr="00826B47" w14:paraId="535FECED" w14:textId="77777777" w:rsidTr="00A21850">
        <w:trPr>
          <w:trHeight w:val="315"/>
        </w:trPr>
        <w:tc>
          <w:tcPr>
            <w:tcW w:w="14449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4F76EBB" w14:textId="77777777" w:rsidR="00A21850" w:rsidRPr="00A21850" w:rsidRDefault="00A21850" w:rsidP="00D57ED0">
            <w:pPr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A21850">
              <w:rPr>
                <w:rFonts w:eastAsia="Times New Roman" w:cs="Times New Roman"/>
                <w:b/>
                <w:color w:val="000000"/>
                <w:sz w:val="20"/>
                <w:szCs w:val="20"/>
                <w:lang w:bidi="ar-SA"/>
              </w:rPr>
              <w:t>Table S</w:t>
            </w:r>
            <w:r w:rsidR="00D57ED0">
              <w:rPr>
                <w:rFonts w:eastAsia="Times New Roman" w:cs="Times New Roman"/>
                <w:b/>
                <w:color w:val="000000"/>
                <w:sz w:val="20"/>
                <w:szCs w:val="20"/>
                <w:lang w:bidi="ar-SA"/>
              </w:rPr>
              <w:t>2</w:t>
            </w:r>
            <w:r w:rsidRPr="00A21850">
              <w:rPr>
                <w:rFonts w:eastAsia="Times New Roman" w:cs="Times New Roman"/>
                <w:b/>
                <w:color w:val="000000"/>
                <w:sz w:val="20"/>
                <w:szCs w:val="20"/>
                <w:lang w:bidi="ar-SA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 w:rsidRPr="00A21850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Effects of organic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/conventional</w:t>
            </w:r>
            <w:r w:rsidRPr="00A21850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status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and farm size</w:t>
            </w:r>
            <w:r w:rsidRPr="00A21850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on the likelihood of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using conservation practices on farm.</w:t>
            </w:r>
            <w:r w:rsidR="0060002A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For rows in which model parameters are not reported, either too few growers reported using the practice (e.g. beetle banks), or too few reported </w:t>
            </w:r>
            <w:r w:rsidR="0060002A">
              <w:rPr>
                <w:rFonts w:eastAsia="Times New Roman" w:cs="Times New Roman"/>
                <w:i/>
                <w:color w:val="000000"/>
                <w:sz w:val="20"/>
                <w:szCs w:val="20"/>
                <w:lang w:bidi="ar-SA"/>
              </w:rPr>
              <w:t xml:space="preserve">not </w:t>
            </w:r>
            <w:r w:rsidR="0060002A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using the practice (e.g. crop rotation), to model the effect of organic status or farm size; see Table S4. </w:t>
            </w:r>
            <w:r w:rsidRPr="00A21850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β= model coefficient; χ</w:t>
            </w:r>
            <w:r w:rsidRPr="00A2185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bidi="ar-SA"/>
              </w:rPr>
              <w:t>2</w:t>
            </w:r>
            <w:r w:rsidRPr="00A21850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= chi-square statistic from likelihood ratio test; P= raw p-value; P*= multiple test adjusted p-value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.</w:t>
            </w:r>
          </w:p>
        </w:tc>
      </w:tr>
    </w:tbl>
    <w:p w14:paraId="221116A4" w14:textId="77777777" w:rsidR="00487241" w:rsidRPr="00826B47" w:rsidRDefault="00D57ED0" w:rsidP="00D57ED0"/>
    <w:sectPr w:rsidR="00487241" w:rsidRPr="00826B47" w:rsidSect="006640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k">
    <w15:presenceInfo w15:providerId="Windows Live" w15:userId="c7eb396d19d483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C4"/>
    <w:rsid w:val="000B39CA"/>
    <w:rsid w:val="000D4662"/>
    <w:rsid w:val="000D7BC9"/>
    <w:rsid w:val="00107CAF"/>
    <w:rsid w:val="001A5A39"/>
    <w:rsid w:val="001A62AA"/>
    <w:rsid w:val="001B1618"/>
    <w:rsid w:val="00230E61"/>
    <w:rsid w:val="002D305B"/>
    <w:rsid w:val="002F04AE"/>
    <w:rsid w:val="00375414"/>
    <w:rsid w:val="0056424F"/>
    <w:rsid w:val="005B265E"/>
    <w:rsid w:val="0060002A"/>
    <w:rsid w:val="00615ED8"/>
    <w:rsid w:val="006640C4"/>
    <w:rsid w:val="007E3422"/>
    <w:rsid w:val="008172C5"/>
    <w:rsid w:val="00826B47"/>
    <w:rsid w:val="0084700B"/>
    <w:rsid w:val="00892EE9"/>
    <w:rsid w:val="00934709"/>
    <w:rsid w:val="00952C95"/>
    <w:rsid w:val="00A21850"/>
    <w:rsid w:val="00A34C4B"/>
    <w:rsid w:val="00BA1227"/>
    <w:rsid w:val="00D57ED0"/>
    <w:rsid w:val="00E60F12"/>
    <w:rsid w:val="00E97550"/>
    <w:rsid w:val="00EF790F"/>
    <w:rsid w:val="00F23E0F"/>
    <w:rsid w:val="00F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5DE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62"/>
    <w:pPr>
      <w:spacing w:after="120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662"/>
    <w:pPr>
      <w:spacing w:before="480"/>
      <w:outlineLvl w:val="0"/>
    </w:pPr>
    <w:rPr>
      <w:b/>
      <w:small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662"/>
    <w:pPr>
      <w:spacing w:before="28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662"/>
    <w:pPr>
      <w:spacing w:before="200"/>
      <w:outlineLvl w:val="2"/>
    </w:pPr>
    <w:rPr>
      <w:i/>
      <w:iCs/>
      <w:smallCaps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662"/>
    <w:pPr>
      <w:spacing w:after="0" w:line="271" w:lineRule="auto"/>
      <w:outlineLvl w:val="3"/>
    </w:pPr>
    <w:rPr>
      <w:rFonts w:asciiTheme="majorHAnsi" w:hAnsiTheme="majorHAnsi"/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662"/>
    <w:pPr>
      <w:spacing w:after="0" w:line="271" w:lineRule="auto"/>
      <w:outlineLvl w:val="4"/>
    </w:pPr>
    <w:rPr>
      <w:rFonts w:asciiTheme="majorHAnsi" w:hAnsiTheme="majorHAnsi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662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662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662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662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662"/>
    <w:rPr>
      <w:rFonts w:ascii="Times New Roman" w:hAnsi="Times New Roman"/>
      <w:b/>
      <w:smallCaps/>
      <w:spacing w:val="5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D4662"/>
    <w:rPr>
      <w:rFonts w:ascii="Times New Roman" w:hAnsi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662"/>
    <w:rPr>
      <w:rFonts w:ascii="Times New Roman" w:hAnsi="Times New Roman"/>
      <w:i/>
      <w:iCs/>
      <w:smallCaps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66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66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66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66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66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66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4662"/>
    <w:pPr>
      <w:spacing w:after="300" w:line="240" w:lineRule="auto"/>
    </w:pPr>
    <w:rPr>
      <w:b/>
      <w:smallCaps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4662"/>
    <w:rPr>
      <w:rFonts w:ascii="Times New Roman" w:hAnsi="Times New Roman"/>
      <w:b/>
      <w:smallCaps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662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66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D4662"/>
    <w:rPr>
      <w:b/>
      <w:bCs/>
    </w:rPr>
  </w:style>
  <w:style w:type="character" w:styleId="Emphasis">
    <w:name w:val="Emphasis"/>
    <w:uiPriority w:val="20"/>
    <w:qFormat/>
    <w:rsid w:val="000D466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D46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466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D4662"/>
    <w:rPr>
      <w:rFonts w:asciiTheme="majorHAnsi" w:hAnsiTheme="majorHAns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0D46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66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662"/>
    <w:rPr>
      <w:i/>
      <w:iCs/>
    </w:rPr>
  </w:style>
  <w:style w:type="character" w:styleId="SubtleEmphasis">
    <w:name w:val="Subtle Emphasis"/>
    <w:uiPriority w:val="19"/>
    <w:qFormat/>
    <w:rsid w:val="000D4662"/>
    <w:rPr>
      <w:i/>
      <w:iCs/>
    </w:rPr>
  </w:style>
  <w:style w:type="character" w:styleId="IntenseEmphasis">
    <w:name w:val="Intense Emphasis"/>
    <w:uiPriority w:val="21"/>
    <w:qFormat/>
    <w:rsid w:val="000D46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4662"/>
    <w:rPr>
      <w:smallCaps/>
    </w:rPr>
  </w:style>
  <w:style w:type="character" w:styleId="IntenseReference">
    <w:name w:val="Intense Reference"/>
    <w:uiPriority w:val="32"/>
    <w:qFormat/>
    <w:rsid w:val="000D466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D46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66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E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62"/>
    <w:pPr>
      <w:spacing w:after="120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662"/>
    <w:pPr>
      <w:spacing w:before="480"/>
      <w:outlineLvl w:val="0"/>
    </w:pPr>
    <w:rPr>
      <w:b/>
      <w:small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662"/>
    <w:pPr>
      <w:spacing w:before="28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662"/>
    <w:pPr>
      <w:spacing w:before="200"/>
      <w:outlineLvl w:val="2"/>
    </w:pPr>
    <w:rPr>
      <w:i/>
      <w:iCs/>
      <w:smallCaps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662"/>
    <w:pPr>
      <w:spacing w:after="0" w:line="271" w:lineRule="auto"/>
      <w:outlineLvl w:val="3"/>
    </w:pPr>
    <w:rPr>
      <w:rFonts w:asciiTheme="majorHAnsi" w:hAnsiTheme="majorHAnsi"/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662"/>
    <w:pPr>
      <w:spacing w:after="0" w:line="271" w:lineRule="auto"/>
      <w:outlineLvl w:val="4"/>
    </w:pPr>
    <w:rPr>
      <w:rFonts w:asciiTheme="majorHAnsi" w:hAnsiTheme="majorHAnsi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662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662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662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662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662"/>
    <w:rPr>
      <w:rFonts w:ascii="Times New Roman" w:hAnsi="Times New Roman"/>
      <w:b/>
      <w:smallCaps/>
      <w:spacing w:val="5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D4662"/>
    <w:rPr>
      <w:rFonts w:ascii="Times New Roman" w:hAnsi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662"/>
    <w:rPr>
      <w:rFonts w:ascii="Times New Roman" w:hAnsi="Times New Roman"/>
      <w:i/>
      <w:iCs/>
      <w:smallCaps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66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66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66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66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66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66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4662"/>
    <w:pPr>
      <w:spacing w:after="300" w:line="240" w:lineRule="auto"/>
    </w:pPr>
    <w:rPr>
      <w:b/>
      <w:smallCaps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4662"/>
    <w:rPr>
      <w:rFonts w:ascii="Times New Roman" w:hAnsi="Times New Roman"/>
      <w:b/>
      <w:smallCaps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662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66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D4662"/>
    <w:rPr>
      <w:b/>
      <w:bCs/>
    </w:rPr>
  </w:style>
  <w:style w:type="character" w:styleId="Emphasis">
    <w:name w:val="Emphasis"/>
    <w:uiPriority w:val="20"/>
    <w:qFormat/>
    <w:rsid w:val="000D466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D46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466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D4662"/>
    <w:rPr>
      <w:rFonts w:asciiTheme="majorHAnsi" w:hAnsiTheme="majorHAns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0D46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66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662"/>
    <w:rPr>
      <w:i/>
      <w:iCs/>
    </w:rPr>
  </w:style>
  <w:style w:type="character" w:styleId="SubtleEmphasis">
    <w:name w:val="Subtle Emphasis"/>
    <w:uiPriority w:val="19"/>
    <w:qFormat/>
    <w:rsid w:val="000D4662"/>
    <w:rPr>
      <w:i/>
      <w:iCs/>
    </w:rPr>
  </w:style>
  <w:style w:type="character" w:styleId="IntenseEmphasis">
    <w:name w:val="Intense Emphasis"/>
    <w:uiPriority w:val="21"/>
    <w:qFormat/>
    <w:rsid w:val="000D46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4662"/>
    <w:rPr>
      <w:smallCaps/>
    </w:rPr>
  </w:style>
  <w:style w:type="character" w:styleId="IntenseReference">
    <w:name w:val="Intense Reference"/>
    <w:uiPriority w:val="32"/>
    <w:qFormat/>
    <w:rsid w:val="000D466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D46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66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E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Debbie Thompson</cp:lastModifiedBy>
  <cp:revision>3</cp:revision>
  <dcterms:created xsi:type="dcterms:W3CDTF">2016-06-23T18:48:00Z</dcterms:created>
  <dcterms:modified xsi:type="dcterms:W3CDTF">2016-06-23T18:48:00Z</dcterms:modified>
</cp:coreProperties>
</file>