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AE6" w:rsidRDefault="00932531">
      <w:r>
        <w:t xml:space="preserve">Common Purslane Biology </w:t>
      </w:r>
    </w:p>
    <w:p w:rsidR="00D8047F" w:rsidRDefault="00D8047F">
      <w:r>
        <w:t>Steve Fennimore, Extension Specialist UC Davis</w:t>
      </w:r>
    </w:p>
    <w:p w:rsidR="00932531" w:rsidRDefault="00D8047F">
      <w:r>
        <w:t>July appears to be the period of maximum emergence of common purslane (</w:t>
      </w:r>
      <w:r w:rsidRPr="00D8047F">
        <w:rPr>
          <w:i/>
        </w:rPr>
        <w:t>Portulaca oleracea</w:t>
      </w:r>
      <w:r>
        <w:t>)</w:t>
      </w:r>
      <w:r w:rsidR="00D21345">
        <w:t xml:space="preserve"> see figure 1 below</w:t>
      </w:r>
      <w:r>
        <w:t xml:space="preserve">. </w:t>
      </w:r>
      <w:r w:rsidR="00D21345">
        <w:t xml:space="preserve">Purslane is considered a summer weed </w:t>
      </w:r>
      <w:r w:rsidR="003B65D2">
        <w:t>with peak emergence</w:t>
      </w:r>
      <w:r w:rsidR="00D21345">
        <w:t xml:space="preserve"> </w:t>
      </w:r>
      <w:r w:rsidR="003B65D2">
        <w:t xml:space="preserve">occurring </w:t>
      </w:r>
      <w:r w:rsidR="00D21345">
        <w:t xml:space="preserve">during warm weather. Purslane seeds are small and germinate best from the soil surface and </w:t>
      </w:r>
      <w:r w:rsidR="003B65D2">
        <w:t xml:space="preserve">from </w:t>
      </w:r>
      <w:r w:rsidR="00D21345">
        <w:t xml:space="preserve">very shallow </w:t>
      </w:r>
      <w:r w:rsidR="003B65D2">
        <w:t xml:space="preserve">soil </w:t>
      </w:r>
      <w:r w:rsidR="00D21345">
        <w:t xml:space="preserve">layers &lt;0.25 inches. Purslane seed have the </w:t>
      </w:r>
      <w:r w:rsidR="003B65D2">
        <w:t xml:space="preserve">lowest </w:t>
      </w:r>
      <w:r w:rsidR="00D21345">
        <w:t xml:space="preserve">level of dormancy during July when we see large flushes of this weed. </w:t>
      </w:r>
      <w:r w:rsidR="0025383E">
        <w:t xml:space="preserve"> It is best to cultivate purslane when it is very small – within the first 3 weeks</w:t>
      </w:r>
      <w:r w:rsidR="00AC65C9">
        <w:t>,</w:t>
      </w:r>
      <w:bookmarkStart w:id="0" w:name="_GoBack"/>
      <w:bookmarkEnd w:id="0"/>
      <w:r w:rsidR="0025383E">
        <w:t xml:space="preserve"> </w:t>
      </w:r>
      <w:r w:rsidR="00AC65C9">
        <w:t>as</w:t>
      </w:r>
      <w:r w:rsidR="0025383E">
        <w:t xml:space="preserve"> uprooting will generally kill the small seedlings. Starting at 4 weeks purslane becomes harder to control. We found that uprooted 4, 5 and </w:t>
      </w:r>
      <w:r w:rsidR="00CD27E6">
        <w:t>6-week-old</w:t>
      </w:r>
      <w:r w:rsidR="0025383E">
        <w:t xml:space="preserve"> purslane plants could produce viable seed</w:t>
      </w:r>
      <w:r w:rsidR="002E394A">
        <w:t xml:space="preserve"> while 1, 2 and 3-week-old plants could not</w:t>
      </w:r>
      <w:r w:rsidR="0059331B">
        <w:t xml:space="preserve">. </w:t>
      </w:r>
      <w:r w:rsidR="002E394A">
        <w:t>P</w:t>
      </w:r>
      <w:r w:rsidR="0059331B">
        <w:t xml:space="preserve">urslane primarily reproduces from seed, </w:t>
      </w:r>
      <w:r w:rsidR="002E394A">
        <w:t>however,</w:t>
      </w:r>
      <w:r w:rsidR="0059331B">
        <w:t xml:space="preserve"> older plants can re-root when irrigated whether </w:t>
      </w:r>
      <w:r w:rsidR="002E394A">
        <w:t xml:space="preserve">as </w:t>
      </w:r>
      <w:r w:rsidR="0059331B">
        <w:t xml:space="preserve">whole plants or plant fragments.  This ability of purslane to survive uprooting is the reason that some growers pay weeding crews to bag the uprooted weeds and carry them out of the field. This of course is expensive given the cost of hand weeding labor. </w:t>
      </w:r>
      <w:r w:rsidR="00BF52FD">
        <w:t xml:space="preserve">The best way to manage purslane is to reduce the weed seedbank and use preemergence herbicides to prevent establishment of this weed. </w:t>
      </w:r>
    </w:p>
    <w:p w:rsidR="00932531" w:rsidRDefault="00932531">
      <w:r w:rsidRPr="000D39B8">
        <w:rPr>
          <w:i/>
          <w:noProof/>
        </w:rPr>
        <w:drawing>
          <wp:anchor distT="0" distB="0" distL="114300" distR="114300" simplePos="0" relativeHeight="251659264" behindDoc="0" locked="0" layoutInCell="1" allowOverlap="1" wp14:anchorId="4FFCC406" wp14:editId="2EF8ED0D">
            <wp:simplePos x="0" y="0"/>
            <wp:positionH relativeFrom="column">
              <wp:posOffset>0</wp:posOffset>
            </wp:positionH>
            <wp:positionV relativeFrom="paragraph">
              <wp:posOffset>589915</wp:posOffset>
            </wp:positionV>
            <wp:extent cx="5486400" cy="2597785"/>
            <wp:effectExtent l="0" t="0" r="0" b="0"/>
            <wp:wrapTopAndBottom/>
            <wp:docPr id="101" name="Object 10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14:sizeRelH relativeFrom="page">
              <wp14:pctWidth>0</wp14:pctWidth>
            </wp14:sizeRelH>
            <wp14:sizeRelV relativeFrom="page">
              <wp14:pctHeight>0</wp14:pctHeight>
            </wp14:sizeRelV>
          </wp:anchor>
        </w:drawing>
      </w:r>
      <w:r w:rsidRPr="000D39B8">
        <w:rPr>
          <w:i/>
        </w:rPr>
        <w:t xml:space="preserve">Figure </w:t>
      </w:r>
      <w:r>
        <w:rPr>
          <w:i/>
        </w:rPr>
        <w:t>1</w:t>
      </w:r>
      <w:r w:rsidRPr="000D39B8">
        <w:rPr>
          <w:i/>
        </w:rPr>
        <w:t>.</w:t>
      </w:r>
      <w:r w:rsidRPr="000D39B8">
        <w:t xml:space="preserve"> Salinas valley common purslane emergence by half-season in the field and nondormant percentages in the soil seedbank during September 1999 to September 2000.</w:t>
      </w:r>
      <w:r w:rsidR="0025383E">
        <w:t xml:space="preserve"> The early summer half season is the period June 21 to August 5.</w:t>
      </w:r>
    </w:p>
    <w:sectPr w:rsidR="00932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31"/>
    <w:rsid w:val="00221455"/>
    <w:rsid w:val="0025383E"/>
    <w:rsid w:val="002E394A"/>
    <w:rsid w:val="003B65D2"/>
    <w:rsid w:val="00436942"/>
    <w:rsid w:val="004A222F"/>
    <w:rsid w:val="0059331B"/>
    <w:rsid w:val="0081335D"/>
    <w:rsid w:val="00932531"/>
    <w:rsid w:val="00AC65C9"/>
    <w:rsid w:val="00BF52FD"/>
    <w:rsid w:val="00CD27E6"/>
    <w:rsid w:val="00D21345"/>
    <w:rsid w:val="00D80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B5F8A"/>
  <w15:chartTrackingRefBased/>
  <w15:docId w15:val="{C090C877-90E2-4543-8C61-D0C26EE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895184135977331"/>
          <c:y val="0.18960244648318042"/>
          <c:w val="0.69688385269121811"/>
          <c:h val="0.32415902140672775"/>
        </c:manualLayout>
      </c:layout>
      <c:barChart>
        <c:barDir val="col"/>
        <c:grouping val="clustered"/>
        <c:varyColors val="0"/>
        <c:ser>
          <c:idx val="0"/>
          <c:order val="0"/>
          <c:tx>
            <c:strRef>
              <c:f>Sheet1!$A$2</c:f>
              <c:strCache>
                <c:ptCount val="1"/>
                <c:pt idx="0">
                  <c:v>field</c:v>
                </c:pt>
              </c:strCache>
            </c:strRef>
          </c:tx>
          <c:spPr>
            <a:solidFill>
              <a:srgbClr val="FF0000"/>
            </a:solidFill>
            <a:ln w="38063">
              <a:solidFill>
                <a:srgbClr val="FF0000"/>
              </a:solidFill>
              <a:prstDash val="solid"/>
            </a:ln>
          </c:spPr>
          <c:invertIfNegative val="0"/>
          <c:cat>
            <c:strRef>
              <c:f>Sheet1!$B$1:$I$1</c:f>
              <c:strCache>
                <c:ptCount val="8"/>
                <c:pt idx="0">
                  <c:v>Early Fall</c:v>
                </c:pt>
                <c:pt idx="1">
                  <c:v>Late Fall</c:v>
                </c:pt>
                <c:pt idx="2">
                  <c:v>Early winter</c:v>
                </c:pt>
                <c:pt idx="3">
                  <c:v>Late winter</c:v>
                </c:pt>
                <c:pt idx="4">
                  <c:v>Early spring</c:v>
                </c:pt>
                <c:pt idx="5">
                  <c:v>Late spring</c:v>
                </c:pt>
                <c:pt idx="6">
                  <c:v>Erl. Summer</c:v>
                </c:pt>
                <c:pt idx="7">
                  <c:v>Lt. summer</c:v>
                </c:pt>
              </c:strCache>
            </c:strRef>
          </c:cat>
          <c:val>
            <c:numRef>
              <c:f>Sheet1!$B$2:$I$2</c:f>
              <c:numCache>
                <c:formatCode>General</c:formatCode>
                <c:ptCount val="8"/>
                <c:pt idx="0">
                  <c:v>0</c:v>
                </c:pt>
                <c:pt idx="1">
                  <c:v>0</c:v>
                </c:pt>
                <c:pt idx="2">
                  <c:v>0</c:v>
                </c:pt>
                <c:pt idx="3">
                  <c:v>0</c:v>
                </c:pt>
                <c:pt idx="4">
                  <c:v>17</c:v>
                </c:pt>
                <c:pt idx="5">
                  <c:v>18</c:v>
                </c:pt>
                <c:pt idx="6">
                  <c:v>45</c:v>
                </c:pt>
                <c:pt idx="7">
                  <c:v>20</c:v>
                </c:pt>
              </c:numCache>
            </c:numRef>
          </c:val>
          <c:extLst>
            <c:ext xmlns:c16="http://schemas.microsoft.com/office/drawing/2014/chart" uri="{C3380CC4-5D6E-409C-BE32-E72D297353CC}">
              <c16:uniqueId val="{00000000-88D7-4199-9E88-20B23E66DACA}"/>
            </c:ext>
          </c:extLst>
        </c:ser>
        <c:ser>
          <c:idx val="1"/>
          <c:order val="1"/>
          <c:tx>
            <c:strRef>
              <c:f>Sheet1!$A$3</c:f>
              <c:strCache>
                <c:ptCount val="1"/>
                <c:pt idx="0">
                  <c:v>nondormant</c:v>
                </c:pt>
              </c:strCache>
            </c:strRef>
          </c:tx>
          <c:spPr>
            <a:pattFill prst="wdUpDiag">
              <a:fgClr>
                <a:srgbClr xmlns:mc="http://schemas.openxmlformats.org/markup-compatibility/2006" xmlns:a14="http://schemas.microsoft.com/office/drawing/2010/main" val="FF00FF" mc:Ignorable="a14" a14:legacySpreadsheetColorIndex="25"/>
              </a:fgClr>
              <a:bgClr>
                <a:srgbClr xmlns:mc="http://schemas.openxmlformats.org/markup-compatibility/2006" xmlns:a14="http://schemas.microsoft.com/office/drawing/2010/main" val="FFFFFF" mc:Ignorable="a14" a14:legacySpreadsheetColorIndex="24"/>
              </a:bgClr>
            </a:pattFill>
            <a:ln w="38063">
              <a:solidFill>
                <a:srgbClr val="FFFF00"/>
              </a:solidFill>
              <a:prstDash val="solid"/>
            </a:ln>
          </c:spPr>
          <c:invertIfNegative val="0"/>
          <c:cat>
            <c:strRef>
              <c:f>Sheet1!$B$1:$I$1</c:f>
              <c:strCache>
                <c:ptCount val="8"/>
                <c:pt idx="0">
                  <c:v>Early Fall</c:v>
                </c:pt>
                <c:pt idx="1">
                  <c:v>Late Fall</c:v>
                </c:pt>
                <c:pt idx="2">
                  <c:v>Early winter</c:v>
                </c:pt>
                <c:pt idx="3">
                  <c:v>Late winter</c:v>
                </c:pt>
                <c:pt idx="4">
                  <c:v>Early spring</c:v>
                </c:pt>
                <c:pt idx="5">
                  <c:v>Late spring</c:v>
                </c:pt>
                <c:pt idx="6">
                  <c:v>Erl. Summer</c:v>
                </c:pt>
                <c:pt idx="7">
                  <c:v>Lt. summer</c:v>
                </c:pt>
              </c:strCache>
            </c:strRef>
          </c:cat>
          <c:val>
            <c:numRef>
              <c:f>Sheet1!$B$3:$I$3</c:f>
              <c:numCache>
                <c:formatCode>General</c:formatCode>
                <c:ptCount val="8"/>
                <c:pt idx="0">
                  <c:v>3</c:v>
                </c:pt>
                <c:pt idx="1">
                  <c:v>0.3</c:v>
                </c:pt>
                <c:pt idx="2">
                  <c:v>0</c:v>
                </c:pt>
                <c:pt idx="3">
                  <c:v>0.5</c:v>
                </c:pt>
                <c:pt idx="4">
                  <c:v>12.3</c:v>
                </c:pt>
                <c:pt idx="5">
                  <c:v>18</c:v>
                </c:pt>
                <c:pt idx="6">
                  <c:v>38.299999999999997</c:v>
                </c:pt>
                <c:pt idx="7">
                  <c:v>26.3</c:v>
                </c:pt>
              </c:numCache>
            </c:numRef>
          </c:val>
          <c:extLst>
            <c:ext xmlns:c16="http://schemas.microsoft.com/office/drawing/2014/chart" uri="{C3380CC4-5D6E-409C-BE32-E72D297353CC}">
              <c16:uniqueId val="{00000001-88D7-4199-9E88-20B23E66DACA}"/>
            </c:ext>
          </c:extLst>
        </c:ser>
        <c:dLbls>
          <c:showLegendKey val="0"/>
          <c:showVal val="0"/>
          <c:showCatName val="0"/>
          <c:showSerName val="0"/>
          <c:showPercent val="0"/>
          <c:showBubbleSize val="0"/>
        </c:dLbls>
        <c:gapWidth val="150"/>
        <c:axId val="34805632"/>
        <c:axId val="34807808"/>
      </c:barChart>
      <c:catAx>
        <c:axId val="34805632"/>
        <c:scaling>
          <c:orientation val="minMax"/>
        </c:scaling>
        <c:delete val="0"/>
        <c:axPos val="b"/>
        <c:title>
          <c:tx>
            <c:rich>
              <a:bodyPr/>
              <a:lstStyle/>
              <a:p>
                <a:pPr>
                  <a:defRPr sz="1124" b="1" i="0" u="none" strike="noStrike" baseline="0">
                    <a:solidFill>
                      <a:srgbClr val="000000"/>
                    </a:solidFill>
                    <a:latin typeface="Times New Roman"/>
                    <a:ea typeface="Times New Roman"/>
                    <a:cs typeface="Times New Roman"/>
                  </a:defRPr>
                </a:pPr>
                <a:r>
                  <a:rPr lang="en-US"/>
                  <a:t>Half season</a:t>
                </a:r>
              </a:p>
            </c:rich>
          </c:tx>
          <c:layout>
            <c:manualLayout>
              <c:xMode val="edge"/>
              <c:yMode val="edge"/>
              <c:x val="0.56515580736543902"/>
              <c:y val="0.85626911314984699"/>
            </c:manualLayout>
          </c:layout>
          <c:overlay val="0"/>
          <c:spPr>
            <a:noFill/>
            <a:ln w="25375">
              <a:noFill/>
            </a:ln>
          </c:spPr>
        </c:title>
        <c:numFmt formatCode="General" sourceLinked="1"/>
        <c:majorTickMark val="out"/>
        <c:minorTickMark val="none"/>
        <c:tickLblPos val="nextTo"/>
        <c:spPr>
          <a:ln w="12688">
            <a:solidFill>
              <a:srgbClr val="000000"/>
            </a:solidFill>
            <a:prstDash val="solid"/>
          </a:ln>
        </c:spPr>
        <c:txPr>
          <a:bodyPr rot="-2700000" vert="horz"/>
          <a:lstStyle/>
          <a:p>
            <a:pPr>
              <a:defRPr sz="1124" b="1" i="0" u="none" strike="noStrike" baseline="0">
                <a:solidFill>
                  <a:srgbClr val="000000"/>
                </a:solidFill>
                <a:latin typeface="Times New Roman"/>
                <a:ea typeface="Times New Roman"/>
                <a:cs typeface="Times New Roman"/>
              </a:defRPr>
            </a:pPr>
            <a:endParaRPr lang="en-US"/>
          </a:p>
        </c:txPr>
        <c:crossAx val="34807808"/>
        <c:crosses val="autoZero"/>
        <c:auto val="1"/>
        <c:lblAlgn val="ctr"/>
        <c:lblOffset val="100"/>
        <c:tickLblSkip val="1"/>
        <c:tickMarkSkip val="1"/>
        <c:noMultiLvlLbl val="0"/>
      </c:catAx>
      <c:valAx>
        <c:axId val="34807808"/>
        <c:scaling>
          <c:orientation val="minMax"/>
        </c:scaling>
        <c:delete val="0"/>
        <c:axPos val="l"/>
        <c:majorGridlines>
          <c:spPr>
            <a:ln w="12688">
              <a:solidFill>
                <a:srgbClr val="000000"/>
              </a:solidFill>
              <a:prstDash val="solid"/>
            </a:ln>
          </c:spPr>
        </c:majorGridlines>
        <c:title>
          <c:tx>
            <c:rich>
              <a:bodyPr rot="0" vert="horz"/>
              <a:lstStyle/>
              <a:p>
                <a:pPr algn="ctr">
                  <a:defRPr sz="1124" b="1" i="0" u="none" strike="noStrike" baseline="0">
                    <a:solidFill>
                      <a:srgbClr val="000000"/>
                    </a:solidFill>
                    <a:latin typeface="Times New Roman"/>
                    <a:ea typeface="Times New Roman"/>
                    <a:cs typeface="Times New Roman"/>
                  </a:defRPr>
                </a:pPr>
                <a:r>
                  <a:rPr lang="en-US"/>
                  <a:t>Field emergence or nondormant fraction (%)</a:t>
                </a:r>
              </a:p>
            </c:rich>
          </c:tx>
          <c:layout>
            <c:manualLayout>
              <c:xMode val="edge"/>
              <c:yMode val="edge"/>
              <c:x val="1.6997167138810197E-2"/>
              <c:y val="0.22018348623853207"/>
            </c:manualLayout>
          </c:layout>
          <c:overlay val="0"/>
          <c:spPr>
            <a:noFill/>
            <a:ln w="25375">
              <a:noFill/>
            </a:ln>
          </c:spPr>
        </c:title>
        <c:numFmt formatCode="General" sourceLinked="1"/>
        <c:majorTickMark val="out"/>
        <c:minorTickMark val="none"/>
        <c:tickLblPos val="nextTo"/>
        <c:spPr>
          <a:ln w="12688">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en-US"/>
          </a:p>
        </c:txPr>
        <c:crossAx val="34805632"/>
        <c:crosses val="autoZero"/>
        <c:crossBetween val="between"/>
      </c:valAx>
      <c:spPr>
        <a:noFill/>
        <a:ln w="12688">
          <a:solidFill>
            <a:srgbClr val="000000"/>
          </a:solidFill>
          <a:prstDash val="solid"/>
        </a:ln>
      </c:spPr>
    </c:plotArea>
    <c:legend>
      <c:legendPos val="t"/>
      <c:legendEntry>
        <c:idx val="0"/>
        <c:txPr>
          <a:bodyPr/>
          <a:lstStyle/>
          <a:p>
            <a:pPr>
              <a:defRPr sz="1034" b="1" i="0" u="none" strike="noStrike" baseline="0">
                <a:solidFill>
                  <a:srgbClr val="000000"/>
                </a:solidFill>
                <a:latin typeface="Times New Roman"/>
                <a:ea typeface="Times New Roman"/>
                <a:cs typeface="Times New Roman"/>
              </a:defRPr>
            </a:pPr>
            <a:endParaRPr lang="en-US"/>
          </a:p>
        </c:txPr>
      </c:legendEntry>
      <c:layout>
        <c:manualLayout>
          <c:xMode val="edge"/>
          <c:yMode val="edge"/>
          <c:x val="0.50141643059490082"/>
          <c:y val="9.1743119266055034E-3"/>
          <c:w val="0.26770538243626057"/>
          <c:h val="8.8685015290519864E-2"/>
        </c:manualLayout>
      </c:layout>
      <c:overlay val="0"/>
      <c:spPr>
        <a:solidFill>
          <a:srgbClr val="FFFFFF"/>
        </a:solidFill>
        <a:ln w="25375">
          <a:noFill/>
        </a:ln>
      </c:spPr>
      <c:txPr>
        <a:bodyPr/>
        <a:lstStyle/>
        <a:p>
          <a:pPr>
            <a:defRPr sz="1034" b="1"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a:noFill/>
    </a:ln>
  </c:spPr>
  <c:txPr>
    <a:bodyPr/>
    <a:lstStyle/>
    <a:p>
      <a:pPr>
        <a:defRPr sz="1124" b="1"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7</cp:revision>
  <cp:lastPrinted>2021-06-23T17:26:00Z</cp:lastPrinted>
  <dcterms:created xsi:type="dcterms:W3CDTF">2021-06-23T16:53:00Z</dcterms:created>
  <dcterms:modified xsi:type="dcterms:W3CDTF">2021-06-23T17:32:00Z</dcterms:modified>
</cp:coreProperties>
</file>