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26E" w:rsidRDefault="0037526E" w:rsidP="006763A2">
      <w:pPr>
        <w:rPr>
          <w:b/>
        </w:rPr>
      </w:pPr>
      <w:r>
        <w:rPr>
          <w:b/>
        </w:rPr>
        <w:t>I.   Cover Page</w:t>
      </w:r>
    </w:p>
    <w:p w:rsidR="0037526E" w:rsidRDefault="0037526E" w:rsidP="006763A2">
      <w:pPr>
        <w:rPr>
          <w:b/>
        </w:rPr>
      </w:pPr>
    </w:p>
    <w:p w:rsidR="00164F33" w:rsidRPr="00164F33" w:rsidRDefault="00164F33" w:rsidP="006763A2">
      <w:r>
        <w:rPr>
          <w:b/>
        </w:rPr>
        <w:t xml:space="preserve">Date:  </w:t>
      </w:r>
      <w:r w:rsidR="00B42485">
        <w:t>September 19</w:t>
      </w:r>
      <w:r>
        <w:t>, 2007</w:t>
      </w:r>
    </w:p>
    <w:p w:rsidR="00164F33" w:rsidRDefault="00164F33" w:rsidP="006763A2">
      <w:pPr>
        <w:rPr>
          <w:b/>
        </w:rPr>
      </w:pPr>
    </w:p>
    <w:p w:rsidR="006763A2" w:rsidRPr="002718CD" w:rsidRDefault="006763A2" w:rsidP="006763A2">
      <w:r w:rsidRPr="002718CD">
        <w:rPr>
          <w:b/>
        </w:rPr>
        <w:t>Project Title:</w:t>
      </w:r>
      <w:r w:rsidRPr="002718CD">
        <w:t xml:space="preserve">  Need assessment for small-scale livestock harvesting and processing facilities in Northern California.</w:t>
      </w:r>
    </w:p>
    <w:p w:rsidR="006763A2" w:rsidRPr="002718CD" w:rsidRDefault="006763A2" w:rsidP="006763A2"/>
    <w:p w:rsidR="006763A2" w:rsidRPr="002718CD" w:rsidRDefault="006763A2" w:rsidP="006763A2">
      <w:pPr>
        <w:rPr>
          <w:b/>
        </w:rPr>
      </w:pPr>
      <w:r w:rsidRPr="002718CD">
        <w:rPr>
          <w:b/>
        </w:rPr>
        <w:t>Principal Investigator (main contact):</w:t>
      </w:r>
    </w:p>
    <w:p w:rsidR="006763A2" w:rsidRPr="002718CD" w:rsidRDefault="006763A2" w:rsidP="006763A2">
      <w:r w:rsidRPr="002718CD">
        <w:t xml:space="preserve">Name:  </w:t>
      </w:r>
      <w:r w:rsidRPr="002718CD">
        <w:tab/>
      </w:r>
      <w:r w:rsidRPr="002718CD">
        <w:tab/>
        <w:t>Morgan Doran</w:t>
      </w:r>
    </w:p>
    <w:p w:rsidR="006763A2" w:rsidRPr="002718CD" w:rsidRDefault="006763A2" w:rsidP="006763A2">
      <w:r w:rsidRPr="002718CD">
        <w:t xml:space="preserve">Title, affiliation: </w:t>
      </w:r>
      <w:r w:rsidRPr="002718CD">
        <w:tab/>
        <w:t>Livestock &amp; Natural Resources Advisor, UC Cooperative Extension</w:t>
      </w:r>
    </w:p>
    <w:p w:rsidR="006763A2" w:rsidRPr="002718CD" w:rsidRDefault="006763A2" w:rsidP="006763A2">
      <w:r w:rsidRPr="002718CD">
        <w:t>Mailing Address:</w:t>
      </w:r>
      <w:r w:rsidRPr="002718CD">
        <w:tab/>
      </w:r>
      <w:smartTag w:uri="urn:schemas-microsoft-com:office:smarttags" w:element="address">
        <w:smartTag w:uri="urn:schemas-microsoft-com:office:smarttags" w:element="Street">
          <w:r w:rsidRPr="002718CD">
            <w:t>501 Texas Street</w:t>
          </w:r>
        </w:smartTag>
        <w:r w:rsidRPr="002718CD">
          <w:t xml:space="preserve">, </w:t>
        </w:r>
        <w:smartTag w:uri="urn:schemas-microsoft-com:office:smarttags" w:element="City">
          <w:r w:rsidRPr="002718CD">
            <w:t>Fairfield</w:t>
          </w:r>
        </w:smartTag>
        <w:r w:rsidRPr="002718CD">
          <w:t xml:space="preserve">, </w:t>
        </w:r>
        <w:smartTag w:uri="urn:schemas-microsoft-com:office:smarttags" w:element="State">
          <w:r w:rsidRPr="002718CD">
            <w:t>CA</w:t>
          </w:r>
        </w:smartTag>
        <w:r w:rsidRPr="002718CD">
          <w:t xml:space="preserve"> </w:t>
        </w:r>
        <w:smartTag w:uri="urn:schemas-microsoft-com:office:smarttags" w:element="PostalCode">
          <w:r w:rsidRPr="002718CD">
            <w:t>94533</w:t>
          </w:r>
        </w:smartTag>
      </w:smartTag>
    </w:p>
    <w:p w:rsidR="006763A2" w:rsidRPr="002718CD" w:rsidRDefault="006763A2" w:rsidP="006763A2">
      <w:r w:rsidRPr="002718CD">
        <w:t>Telephone:  707-784-1326</w:t>
      </w:r>
      <w:r w:rsidRPr="002718CD">
        <w:tab/>
      </w:r>
      <w:r w:rsidRPr="002718CD">
        <w:tab/>
        <w:t xml:space="preserve">Email:  </w:t>
      </w:r>
      <w:hyperlink r:id="rId7" w:history="1">
        <w:r w:rsidRPr="002718CD">
          <w:rPr>
            <w:rStyle w:val="Hyperlink"/>
          </w:rPr>
          <w:t>mpdoran@ucdavis.edu</w:t>
        </w:r>
      </w:hyperlink>
      <w:r w:rsidRPr="002718CD">
        <w:tab/>
        <w:t>Fax:  707-429-5532</w:t>
      </w:r>
    </w:p>
    <w:p w:rsidR="006763A2" w:rsidRPr="002718CD" w:rsidRDefault="006763A2" w:rsidP="006763A2"/>
    <w:p w:rsidR="006763A2" w:rsidRPr="002718CD" w:rsidRDefault="00B42485" w:rsidP="006763A2">
      <w:pPr>
        <w:rPr>
          <w:b/>
        </w:rPr>
      </w:pPr>
      <w:r>
        <w:rPr>
          <w:b/>
        </w:rPr>
        <w:t>Co-</w:t>
      </w:r>
      <w:r w:rsidR="006763A2" w:rsidRPr="002718CD">
        <w:rPr>
          <w:b/>
        </w:rPr>
        <w:t>Investigators:</w:t>
      </w:r>
    </w:p>
    <w:p w:rsidR="006763A2" w:rsidRPr="002718CD" w:rsidRDefault="006763A2" w:rsidP="006763A2">
      <w:r w:rsidRPr="002718CD">
        <w:t xml:space="preserve">Temra Costa, </w:t>
      </w:r>
      <w:smartTag w:uri="urn:schemas-microsoft-com:office:smarttags" w:element="place">
        <w:smartTag w:uri="urn:schemas-microsoft-com:office:smarttags" w:element="PlaceName">
          <w:r w:rsidRPr="002718CD">
            <w:t>Sacramento</w:t>
          </w:r>
        </w:smartTag>
        <w:r w:rsidRPr="002718CD">
          <w:t xml:space="preserve"> </w:t>
        </w:r>
        <w:smartTag w:uri="urn:schemas-microsoft-com:office:smarttags" w:element="PlaceType">
          <w:r w:rsidRPr="002718CD">
            <w:t>Valley</w:t>
          </w:r>
        </w:smartTag>
      </w:smartTag>
      <w:r w:rsidRPr="002718CD">
        <w:t xml:space="preserve"> Food Systems Coordinator, Community </w:t>
      </w:r>
      <w:smartTag w:uri="urn:schemas-microsoft-com:office:smarttags" w:element="City">
        <w:smartTag w:uri="urn:schemas-microsoft-com:office:smarttags" w:element="place">
          <w:r w:rsidRPr="002718CD">
            <w:t>Alliance</w:t>
          </w:r>
        </w:smartTag>
      </w:smartTag>
      <w:r w:rsidRPr="002718CD">
        <w:t xml:space="preserve"> with Family Farmers</w:t>
      </w:r>
    </w:p>
    <w:p w:rsidR="006763A2" w:rsidRPr="002718CD" w:rsidRDefault="006763A2" w:rsidP="006763A2">
      <w:r w:rsidRPr="002718CD">
        <w:t xml:space="preserve">John Harper, Livestock &amp; Natural Resources Advisor, </w:t>
      </w:r>
      <w:smartTag w:uri="urn:schemas-microsoft-com:office:smarttags" w:element="place">
        <w:smartTag w:uri="urn:schemas-microsoft-com:office:smarttags" w:element="PlaceType">
          <w:r w:rsidRPr="002718CD">
            <w:t>University</w:t>
          </w:r>
        </w:smartTag>
        <w:r w:rsidRPr="002718CD">
          <w:t xml:space="preserve"> of </w:t>
        </w:r>
        <w:smartTag w:uri="urn:schemas-microsoft-com:office:smarttags" w:element="PlaceName">
          <w:r w:rsidRPr="002718CD">
            <w:t>California</w:t>
          </w:r>
        </w:smartTag>
      </w:smartTag>
      <w:r w:rsidRPr="002718CD">
        <w:t xml:space="preserve"> Cooperative Extension, </w:t>
      </w:r>
      <w:smartTag w:uri="urn:schemas-microsoft-com:office:smarttags" w:element="place">
        <w:smartTag w:uri="urn:schemas-microsoft-com:office:smarttags" w:element="PlaceName">
          <w:r w:rsidRPr="002718CD">
            <w:t>Mendocino</w:t>
          </w:r>
        </w:smartTag>
        <w:r w:rsidRPr="002718CD">
          <w:t xml:space="preserve"> </w:t>
        </w:r>
        <w:smartTag w:uri="urn:schemas-microsoft-com:office:smarttags" w:element="PlaceType">
          <w:r w:rsidRPr="002718CD">
            <w:t>County</w:t>
          </w:r>
        </w:smartTag>
      </w:smartTag>
    </w:p>
    <w:p w:rsidR="006763A2" w:rsidRPr="002718CD" w:rsidRDefault="006763A2" w:rsidP="006763A2">
      <w:r w:rsidRPr="002718CD">
        <w:t xml:space="preserve">Theresa </w:t>
      </w:r>
      <w:r w:rsidR="00BF15C8">
        <w:t>Becchetti</w:t>
      </w:r>
      <w:r w:rsidRPr="002718CD">
        <w:t>, Livestock &amp; Natural Resources Advisor, University of California Cooperative Extension, Stanislaus</w:t>
      </w:r>
      <w:r w:rsidR="00BF15C8">
        <w:t xml:space="preserve"> and San Joaquin Counties</w:t>
      </w:r>
    </w:p>
    <w:p w:rsidR="006763A2" w:rsidRPr="002718CD" w:rsidRDefault="006763A2" w:rsidP="006763A2">
      <w:r w:rsidRPr="002718CD">
        <w:t xml:space="preserve">Stephanie Larson, Livestock &amp; Natural Resources Advisor, </w:t>
      </w:r>
      <w:smartTag w:uri="urn:schemas-microsoft-com:office:smarttags" w:element="place">
        <w:smartTag w:uri="urn:schemas-microsoft-com:office:smarttags" w:element="PlaceType">
          <w:r w:rsidRPr="002718CD">
            <w:t>University</w:t>
          </w:r>
        </w:smartTag>
        <w:r w:rsidRPr="002718CD">
          <w:t xml:space="preserve"> of </w:t>
        </w:r>
        <w:smartTag w:uri="urn:schemas-microsoft-com:office:smarttags" w:element="PlaceName">
          <w:r w:rsidRPr="002718CD">
            <w:t>California</w:t>
          </w:r>
        </w:smartTag>
      </w:smartTag>
      <w:r w:rsidRPr="002718CD">
        <w:t xml:space="preserve"> Cooperative Extension, </w:t>
      </w:r>
      <w:smartTag w:uri="urn:schemas-microsoft-com:office:smarttags" w:element="place">
        <w:smartTag w:uri="urn:schemas-microsoft-com:office:smarttags" w:element="PlaceName">
          <w:r w:rsidRPr="002718CD">
            <w:t>Sonoma</w:t>
          </w:r>
        </w:smartTag>
        <w:r w:rsidRPr="002718CD">
          <w:t xml:space="preserve"> </w:t>
        </w:r>
        <w:smartTag w:uri="urn:schemas-microsoft-com:office:smarttags" w:element="PlaceType">
          <w:r w:rsidRPr="002718CD">
            <w:t>County</w:t>
          </w:r>
        </w:smartTag>
      </w:smartTag>
    </w:p>
    <w:p w:rsidR="006763A2" w:rsidRPr="002718CD" w:rsidRDefault="006763A2" w:rsidP="006763A2">
      <w:r w:rsidRPr="002718CD">
        <w:t xml:space="preserve">Shermain Hardesty, Extension Specialist, Department of Agricultural and Resource Economics, and Director of the Rural </w:t>
      </w:r>
      <w:smartTag w:uri="urn:schemas-microsoft-com:office:smarttags" w:element="place">
        <w:smartTag w:uri="urn:schemas-microsoft-com:office:smarttags" w:element="PlaceName">
          <w:r w:rsidRPr="002718CD">
            <w:t>Cooperatives</w:t>
          </w:r>
        </w:smartTag>
        <w:r w:rsidRPr="002718CD">
          <w:t xml:space="preserve"> </w:t>
        </w:r>
        <w:smartTag w:uri="urn:schemas-microsoft-com:office:smarttags" w:element="PlaceType">
          <w:r w:rsidRPr="002718CD">
            <w:t>Center</w:t>
          </w:r>
        </w:smartTag>
      </w:smartTag>
      <w:r w:rsidRPr="002718CD">
        <w:t xml:space="preserve">, </w:t>
      </w:r>
      <w:smartTag w:uri="urn:schemas-microsoft-com:office:smarttags" w:element="place">
        <w:smartTag w:uri="urn:schemas-microsoft-com:office:smarttags" w:element="PlaceType">
          <w:r w:rsidRPr="002718CD">
            <w:t>University</w:t>
          </w:r>
        </w:smartTag>
        <w:r w:rsidRPr="002718CD">
          <w:t xml:space="preserve"> of </w:t>
        </w:r>
        <w:smartTag w:uri="urn:schemas-microsoft-com:office:smarttags" w:element="PlaceName">
          <w:r w:rsidRPr="002718CD">
            <w:t>California</w:t>
          </w:r>
        </w:smartTag>
      </w:smartTag>
      <w:r w:rsidRPr="002718CD">
        <w:t xml:space="preserve">, </w:t>
      </w:r>
      <w:smartTag w:uri="urn:schemas-microsoft-com:office:smarttags" w:element="City">
        <w:smartTag w:uri="urn:schemas-microsoft-com:office:smarttags" w:element="place">
          <w:r w:rsidRPr="002718CD">
            <w:t>Davis</w:t>
          </w:r>
        </w:smartTag>
      </w:smartTag>
    </w:p>
    <w:p w:rsidR="006763A2" w:rsidRPr="002718CD" w:rsidRDefault="006763A2" w:rsidP="006763A2">
      <w:r w:rsidRPr="002718CD">
        <w:t xml:space="preserve">Roger Ingram, Livestock &amp; Natural Resources Advisor, </w:t>
      </w:r>
      <w:smartTag w:uri="urn:schemas-microsoft-com:office:smarttags" w:element="place">
        <w:smartTag w:uri="urn:schemas-microsoft-com:office:smarttags" w:element="PlaceType">
          <w:r w:rsidRPr="002718CD">
            <w:t>University</w:t>
          </w:r>
        </w:smartTag>
        <w:r w:rsidRPr="002718CD">
          <w:t xml:space="preserve"> of </w:t>
        </w:r>
        <w:smartTag w:uri="urn:schemas-microsoft-com:office:smarttags" w:element="PlaceName">
          <w:r w:rsidRPr="002718CD">
            <w:t>California</w:t>
          </w:r>
        </w:smartTag>
      </w:smartTag>
      <w:r w:rsidRPr="002718CD">
        <w:t xml:space="preserve"> Cooperative Extension, </w:t>
      </w:r>
      <w:smartTag w:uri="urn:schemas-microsoft-com:office:smarttags" w:element="place">
        <w:smartTag w:uri="urn:schemas-microsoft-com:office:smarttags" w:element="PlaceName">
          <w:r w:rsidRPr="002718CD">
            <w:t>Placer</w:t>
          </w:r>
        </w:smartTag>
        <w:r w:rsidRPr="002718CD">
          <w:t xml:space="preserve"> </w:t>
        </w:r>
        <w:smartTag w:uri="urn:schemas-microsoft-com:office:smarttags" w:element="PlaceType">
          <w:r w:rsidRPr="002718CD">
            <w:t>County</w:t>
          </w:r>
        </w:smartTag>
      </w:smartTag>
    </w:p>
    <w:p w:rsidR="006763A2" w:rsidRPr="002718CD" w:rsidRDefault="006763A2" w:rsidP="006763A2"/>
    <w:p w:rsidR="006763A2" w:rsidRPr="002718CD" w:rsidRDefault="006763A2" w:rsidP="006763A2">
      <w:pPr>
        <w:rPr>
          <w:b/>
        </w:rPr>
      </w:pPr>
      <w:r w:rsidRPr="002718CD">
        <w:rPr>
          <w:b/>
        </w:rPr>
        <w:t>Cooperators:</w:t>
      </w:r>
    </w:p>
    <w:p w:rsidR="006763A2" w:rsidRPr="002718CD" w:rsidRDefault="006763A2" w:rsidP="006763A2">
      <w:r w:rsidRPr="002718CD">
        <w:t xml:space="preserve">Holly George, Livestock &amp; Natural Resources Advisor, </w:t>
      </w:r>
      <w:smartTag w:uri="urn:schemas-microsoft-com:office:smarttags" w:element="place">
        <w:smartTag w:uri="urn:schemas-microsoft-com:office:smarttags" w:element="PlaceType">
          <w:r w:rsidRPr="002718CD">
            <w:t>University</w:t>
          </w:r>
        </w:smartTag>
        <w:r w:rsidRPr="002718CD">
          <w:t xml:space="preserve"> of </w:t>
        </w:r>
        <w:smartTag w:uri="urn:schemas-microsoft-com:office:smarttags" w:element="PlaceName">
          <w:r w:rsidRPr="002718CD">
            <w:t>California</w:t>
          </w:r>
        </w:smartTag>
      </w:smartTag>
      <w:r w:rsidRPr="002718CD">
        <w:t xml:space="preserve"> Cooperative Extension, </w:t>
      </w:r>
      <w:smartTag w:uri="urn:schemas-microsoft-com:office:smarttags" w:element="place">
        <w:smartTag w:uri="urn:schemas-microsoft-com:office:smarttags" w:element="PlaceName">
          <w:r w:rsidRPr="002718CD">
            <w:t>Plumas</w:t>
          </w:r>
        </w:smartTag>
        <w:r w:rsidRPr="002718CD">
          <w:t xml:space="preserve"> </w:t>
        </w:r>
        <w:smartTag w:uri="urn:schemas-microsoft-com:office:smarttags" w:element="PlaceType">
          <w:r w:rsidRPr="002718CD">
            <w:t>County</w:t>
          </w:r>
        </w:smartTag>
      </w:smartTag>
    </w:p>
    <w:p w:rsidR="006763A2" w:rsidRPr="002718CD" w:rsidRDefault="006763A2" w:rsidP="006763A2">
      <w:r w:rsidRPr="002718CD">
        <w:t xml:space="preserve">Glenn Nader, Livestock &amp; Natural Resources Advisor, </w:t>
      </w:r>
      <w:smartTag w:uri="urn:schemas-microsoft-com:office:smarttags" w:element="place">
        <w:smartTag w:uri="urn:schemas-microsoft-com:office:smarttags" w:element="PlaceType">
          <w:r w:rsidRPr="002718CD">
            <w:t>University</w:t>
          </w:r>
        </w:smartTag>
        <w:r w:rsidRPr="002718CD">
          <w:t xml:space="preserve"> of </w:t>
        </w:r>
        <w:smartTag w:uri="urn:schemas-microsoft-com:office:smarttags" w:element="PlaceName">
          <w:r w:rsidRPr="002718CD">
            <w:t>California</w:t>
          </w:r>
        </w:smartTag>
      </w:smartTag>
      <w:r w:rsidRPr="002718CD">
        <w:t xml:space="preserve"> Cooperative Extension, </w:t>
      </w:r>
      <w:smartTag w:uri="urn:schemas-microsoft-com:office:smarttags" w:element="place">
        <w:smartTag w:uri="urn:schemas-microsoft-com:office:smarttags" w:element="PlaceName">
          <w:r w:rsidRPr="002718CD">
            <w:t>Sutter-Yuba</w:t>
          </w:r>
        </w:smartTag>
        <w:r w:rsidRPr="002718CD">
          <w:t xml:space="preserve"> </w:t>
        </w:r>
        <w:smartTag w:uri="urn:schemas-microsoft-com:office:smarttags" w:element="PlaceType">
          <w:r w:rsidRPr="002718CD">
            <w:t>Counties</w:t>
          </w:r>
        </w:smartTag>
      </w:smartTag>
    </w:p>
    <w:p w:rsidR="006763A2" w:rsidRPr="002718CD" w:rsidRDefault="006763A2" w:rsidP="006763A2">
      <w:r w:rsidRPr="002718CD">
        <w:t xml:space="preserve">Sheila Barry, Livestock &amp; Natural Resources Advisor, </w:t>
      </w:r>
      <w:smartTag w:uri="urn:schemas-microsoft-com:office:smarttags" w:element="place">
        <w:smartTag w:uri="urn:schemas-microsoft-com:office:smarttags" w:element="PlaceType">
          <w:r w:rsidRPr="002718CD">
            <w:t>University</w:t>
          </w:r>
        </w:smartTag>
        <w:r w:rsidRPr="002718CD">
          <w:t xml:space="preserve"> of </w:t>
        </w:r>
        <w:smartTag w:uri="urn:schemas-microsoft-com:office:smarttags" w:element="PlaceName">
          <w:r w:rsidRPr="002718CD">
            <w:t>California</w:t>
          </w:r>
        </w:smartTag>
      </w:smartTag>
      <w:r w:rsidRPr="002718CD">
        <w:t xml:space="preserve"> Cooperative Extension</w:t>
      </w:r>
    </w:p>
    <w:p w:rsidR="006763A2" w:rsidRPr="002718CD" w:rsidRDefault="006763A2" w:rsidP="006763A2">
      <w:r w:rsidRPr="002718CD">
        <w:t>Josh Davy, Livestock &amp; Natural Resources Program Representative, University of California Cooperative Extension, Tehama County</w:t>
      </w:r>
    </w:p>
    <w:p w:rsidR="006763A2" w:rsidRPr="002718CD" w:rsidRDefault="006763A2" w:rsidP="006763A2">
      <w:r w:rsidRPr="002718CD">
        <w:t>California Cattlemen’s Association</w:t>
      </w:r>
    </w:p>
    <w:p w:rsidR="006763A2" w:rsidRDefault="006763A2" w:rsidP="006763A2"/>
    <w:p w:rsidR="00793C44" w:rsidRPr="00793C44" w:rsidRDefault="00793C44" w:rsidP="006763A2">
      <w:pPr>
        <w:rPr>
          <w:b/>
        </w:rPr>
      </w:pPr>
      <w:r>
        <w:rPr>
          <w:b/>
        </w:rPr>
        <w:t xml:space="preserve">Summer </w:t>
      </w:r>
      <w:r w:rsidRPr="00793C44">
        <w:rPr>
          <w:b/>
        </w:rPr>
        <w:t>Intern:</w:t>
      </w:r>
    </w:p>
    <w:p w:rsidR="00793C44" w:rsidRDefault="00793C44" w:rsidP="006763A2">
      <w:r>
        <w:t xml:space="preserve">Sarah DeVandry, UC Davis graduate of Agricultural </w:t>
      </w:r>
      <w:r w:rsidR="00F72511">
        <w:t xml:space="preserve">and Resource </w:t>
      </w:r>
      <w:r>
        <w:t>Economics</w:t>
      </w:r>
    </w:p>
    <w:p w:rsidR="00793C44" w:rsidRPr="002718CD" w:rsidRDefault="00793C44" w:rsidP="006763A2"/>
    <w:p w:rsidR="006763A2" w:rsidRPr="002718CD" w:rsidRDefault="003244A4" w:rsidP="006763A2">
      <w:r>
        <w:rPr>
          <w:b/>
        </w:rPr>
        <w:t xml:space="preserve">Counties </w:t>
      </w:r>
      <w:r w:rsidR="00164F33">
        <w:rPr>
          <w:b/>
        </w:rPr>
        <w:t xml:space="preserve">included in </w:t>
      </w:r>
      <w:r w:rsidR="006763A2" w:rsidRPr="002718CD">
        <w:rPr>
          <w:b/>
        </w:rPr>
        <w:t>project</w:t>
      </w:r>
      <w:r w:rsidR="00164F33">
        <w:rPr>
          <w:b/>
        </w:rPr>
        <w:t>:</w:t>
      </w:r>
    </w:p>
    <w:p w:rsidR="006763A2" w:rsidRDefault="003244A4" w:rsidP="006763A2">
      <w:r>
        <w:t xml:space="preserve">The project was conducted from the UCCE Solano County office and included participation from farm advisors and livestock producers </w:t>
      </w:r>
      <w:r w:rsidR="006763A2" w:rsidRPr="002718CD">
        <w:t xml:space="preserve">in the Northern California counties of </w:t>
      </w:r>
      <w:r>
        <w:t xml:space="preserve">Alameda, Amador, Butte, Calaveras, Colusa, Contra Costa, </w:t>
      </w:r>
      <w:r w:rsidR="00164F33">
        <w:t xml:space="preserve">Del Norte, </w:t>
      </w:r>
      <w:r>
        <w:t xml:space="preserve">El Dorado, Glenn, </w:t>
      </w:r>
      <w:r w:rsidR="00164F33">
        <w:t>Humbol</w:t>
      </w:r>
      <w:r>
        <w:t>d</w:t>
      </w:r>
      <w:r w:rsidR="00164F33">
        <w:t xml:space="preserve">t, </w:t>
      </w:r>
      <w:r>
        <w:t>Lake</w:t>
      </w:r>
      <w:r w:rsidR="00100E4D">
        <w:t>,</w:t>
      </w:r>
      <w:r>
        <w:t xml:space="preserve"> Lassen</w:t>
      </w:r>
      <w:r w:rsidR="00100E4D">
        <w:t>,</w:t>
      </w:r>
      <w:r>
        <w:t xml:space="preserve"> Marin</w:t>
      </w:r>
      <w:r w:rsidR="00100E4D">
        <w:t>,</w:t>
      </w:r>
      <w:r>
        <w:t xml:space="preserve"> Mendocino, Modoc, Napa, Nevada, Placer, Plumas, Sacramento, San Francisco, </w:t>
      </w:r>
      <w:r w:rsidR="00100E4D">
        <w:lastRenderedPageBreak/>
        <w:t>San J</w:t>
      </w:r>
      <w:r>
        <w:t>o</w:t>
      </w:r>
      <w:r w:rsidR="00100E4D">
        <w:t>a</w:t>
      </w:r>
      <w:r>
        <w:t xml:space="preserve">quin, San Mateo, Santa Clara, Shasta, Sierra, </w:t>
      </w:r>
      <w:r w:rsidR="00164F33">
        <w:t xml:space="preserve">Siskiyou, </w:t>
      </w:r>
      <w:r>
        <w:t xml:space="preserve">Solano, Sonoma, Stanislaus, Sutter, </w:t>
      </w:r>
      <w:r w:rsidR="006763A2" w:rsidRPr="002718CD">
        <w:t xml:space="preserve">Tehama, </w:t>
      </w:r>
      <w:r>
        <w:t>Trinity, Tuolumne, Yolo and Yuba.</w:t>
      </w:r>
    </w:p>
    <w:p w:rsidR="0037526E" w:rsidRDefault="0037526E" w:rsidP="006763A2"/>
    <w:p w:rsidR="0037526E" w:rsidRPr="0037526E" w:rsidRDefault="0037526E" w:rsidP="006763A2">
      <w:pPr>
        <w:rPr>
          <w:b/>
        </w:rPr>
      </w:pPr>
      <w:r w:rsidRPr="0037526E">
        <w:rPr>
          <w:b/>
        </w:rPr>
        <w:t>Budget: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17"/>
        <w:gridCol w:w="1848"/>
        <w:gridCol w:w="1811"/>
      </w:tblGrid>
      <w:tr w:rsidR="0037526E" w:rsidRPr="0037526E" w:rsidTr="0037526E">
        <w:tc>
          <w:tcPr>
            <w:tcW w:w="5917" w:type="dxa"/>
          </w:tcPr>
          <w:p w:rsidR="0037526E" w:rsidRPr="0037526E" w:rsidRDefault="0037526E" w:rsidP="00AF7FD1">
            <w:pPr>
              <w:rPr>
                <w:b/>
              </w:rPr>
            </w:pPr>
          </w:p>
        </w:tc>
        <w:tc>
          <w:tcPr>
            <w:tcW w:w="1848" w:type="dxa"/>
          </w:tcPr>
          <w:p w:rsidR="0037526E" w:rsidRPr="0037526E" w:rsidRDefault="0037526E" w:rsidP="0037526E">
            <w:pPr>
              <w:jc w:val="center"/>
              <w:rPr>
                <w:b/>
              </w:rPr>
            </w:pPr>
            <w:r>
              <w:rPr>
                <w:b/>
              </w:rPr>
              <w:t>UC SAREP</w:t>
            </w:r>
          </w:p>
        </w:tc>
        <w:tc>
          <w:tcPr>
            <w:tcW w:w="1811" w:type="dxa"/>
          </w:tcPr>
          <w:p w:rsidR="0037526E" w:rsidRDefault="0037526E" w:rsidP="0037526E">
            <w:pPr>
              <w:jc w:val="center"/>
              <w:rPr>
                <w:b/>
              </w:rPr>
            </w:pPr>
            <w:r>
              <w:rPr>
                <w:b/>
              </w:rPr>
              <w:t>Matching</w:t>
            </w:r>
          </w:p>
        </w:tc>
      </w:tr>
      <w:tr w:rsidR="0037526E" w:rsidTr="0037526E">
        <w:tc>
          <w:tcPr>
            <w:tcW w:w="5917" w:type="dxa"/>
          </w:tcPr>
          <w:p w:rsidR="0037526E" w:rsidRPr="0037526E" w:rsidRDefault="0037526E" w:rsidP="00AF7FD1">
            <w:pPr>
              <w:rPr>
                <w:b/>
              </w:rPr>
            </w:pPr>
            <w:r w:rsidRPr="0037526E">
              <w:rPr>
                <w:b/>
              </w:rPr>
              <w:t>A. Personnel</w:t>
            </w:r>
          </w:p>
        </w:tc>
        <w:tc>
          <w:tcPr>
            <w:tcW w:w="1848" w:type="dxa"/>
          </w:tcPr>
          <w:p w:rsidR="0037526E" w:rsidRDefault="0037526E" w:rsidP="0037526E">
            <w:pPr>
              <w:jc w:val="center"/>
            </w:pPr>
          </w:p>
        </w:tc>
        <w:tc>
          <w:tcPr>
            <w:tcW w:w="1811" w:type="dxa"/>
          </w:tcPr>
          <w:p w:rsidR="0037526E" w:rsidRDefault="0037526E" w:rsidP="0037526E">
            <w:pPr>
              <w:jc w:val="center"/>
            </w:pPr>
          </w:p>
        </w:tc>
      </w:tr>
      <w:tr w:rsidR="0037526E" w:rsidTr="0037526E">
        <w:tc>
          <w:tcPr>
            <w:tcW w:w="5917" w:type="dxa"/>
          </w:tcPr>
          <w:p w:rsidR="0037526E" w:rsidRDefault="0037526E" w:rsidP="00AF7FD1">
            <w:r>
              <w:t>Student Assistant III, 100% for three months</w:t>
            </w:r>
          </w:p>
        </w:tc>
        <w:tc>
          <w:tcPr>
            <w:tcW w:w="1848" w:type="dxa"/>
          </w:tcPr>
          <w:p w:rsidR="0037526E" w:rsidRDefault="0037526E" w:rsidP="0037526E">
            <w:pPr>
              <w:jc w:val="center"/>
            </w:pPr>
            <w:r>
              <w:t>$ 6,864</w:t>
            </w:r>
          </w:p>
        </w:tc>
        <w:tc>
          <w:tcPr>
            <w:tcW w:w="1811" w:type="dxa"/>
          </w:tcPr>
          <w:p w:rsidR="0037526E" w:rsidRDefault="0037526E" w:rsidP="0037526E">
            <w:pPr>
              <w:jc w:val="center"/>
            </w:pPr>
            <w:r>
              <w:t>0</w:t>
            </w:r>
          </w:p>
        </w:tc>
      </w:tr>
      <w:tr w:rsidR="0037526E" w:rsidTr="0037526E">
        <w:tc>
          <w:tcPr>
            <w:tcW w:w="5917" w:type="dxa"/>
          </w:tcPr>
          <w:p w:rsidR="0037526E" w:rsidRDefault="0037526E" w:rsidP="00AF7FD1">
            <w:r>
              <w:t>Employee benefits</w:t>
            </w:r>
          </w:p>
        </w:tc>
        <w:tc>
          <w:tcPr>
            <w:tcW w:w="1848" w:type="dxa"/>
          </w:tcPr>
          <w:p w:rsidR="0037526E" w:rsidRDefault="0037526E" w:rsidP="0037526E">
            <w:pPr>
              <w:jc w:val="center"/>
            </w:pPr>
            <w:r>
              <w:t>$ 1,200</w:t>
            </w:r>
          </w:p>
        </w:tc>
        <w:tc>
          <w:tcPr>
            <w:tcW w:w="1811" w:type="dxa"/>
          </w:tcPr>
          <w:p w:rsidR="0037526E" w:rsidRDefault="0037526E" w:rsidP="0037526E">
            <w:pPr>
              <w:jc w:val="center"/>
            </w:pPr>
            <w:r>
              <w:t>0</w:t>
            </w:r>
          </w:p>
        </w:tc>
      </w:tr>
      <w:tr w:rsidR="0037526E" w:rsidTr="0037526E">
        <w:tc>
          <w:tcPr>
            <w:tcW w:w="5917" w:type="dxa"/>
          </w:tcPr>
          <w:p w:rsidR="0037526E" w:rsidRDefault="0037526E" w:rsidP="00AF7FD1"/>
        </w:tc>
        <w:tc>
          <w:tcPr>
            <w:tcW w:w="1848" w:type="dxa"/>
          </w:tcPr>
          <w:p w:rsidR="0037526E" w:rsidRDefault="0037526E" w:rsidP="0037526E">
            <w:pPr>
              <w:jc w:val="center"/>
            </w:pPr>
          </w:p>
        </w:tc>
        <w:tc>
          <w:tcPr>
            <w:tcW w:w="1811" w:type="dxa"/>
          </w:tcPr>
          <w:p w:rsidR="0037526E" w:rsidRDefault="0037526E" w:rsidP="0037526E">
            <w:pPr>
              <w:jc w:val="center"/>
            </w:pPr>
          </w:p>
        </w:tc>
      </w:tr>
      <w:tr w:rsidR="0037526E" w:rsidTr="0037526E">
        <w:tc>
          <w:tcPr>
            <w:tcW w:w="5917" w:type="dxa"/>
          </w:tcPr>
          <w:p w:rsidR="0037526E" w:rsidRPr="0037526E" w:rsidRDefault="0037526E" w:rsidP="00AF7FD1">
            <w:pPr>
              <w:rPr>
                <w:b/>
              </w:rPr>
            </w:pPr>
            <w:r w:rsidRPr="0037526E">
              <w:rPr>
                <w:b/>
              </w:rPr>
              <w:t>B. Supplies and Expenses</w:t>
            </w:r>
          </w:p>
        </w:tc>
        <w:tc>
          <w:tcPr>
            <w:tcW w:w="1848" w:type="dxa"/>
          </w:tcPr>
          <w:p w:rsidR="0037526E" w:rsidRDefault="0037526E" w:rsidP="0037526E">
            <w:pPr>
              <w:jc w:val="center"/>
            </w:pPr>
          </w:p>
        </w:tc>
        <w:tc>
          <w:tcPr>
            <w:tcW w:w="1811" w:type="dxa"/>
          </w:tcPr>
          <w:p w:rsidR="0037526E" w:rsidRDefault="0037526E" w:rsidP="0037526E">
            <w:pPr>
              <w:jc w:val="center"/>
            </w:pPr>
          </w:p>
        </w:tc>
      </w:tr>
      <w:tr w:rsidR="0037526E" w:rsidTr="0037526E">
        <w:tc>
          <w:tcPr>
            <w:tcW w:w="5917" w:type="dxa"/>
          </w:tcPr>
          <w:p w:rsidR="0037526E" w:rsidRDefault="0037526E" w:rsidP="0037526E">
            <w:pPr>
              <w:ind w:firstLine="360"/>
            </w:pPr>
            <w:r>
              <w:t>Postage for 3000 surveys @ $ 0.39 each</w:t>
            </w:r>
          </w:p>
        </w:tc>
        <w:tc>
          <w:tcPr>
            <w:tcW w:w="1848" w:type="dxa"/>
          </w:tcPr>
          <w:p w:rsidR="0037526E" w:rsidRDefault="0037526E" w:rsidP="0037526E">
            <w:pPr>
              <w:jc w:val="center"/>
            </w:pPr>
            <w:r>
              <w:t>$ 1,170</w:t>
            </w:r>
          </w:p>
        </w:tc>
        <w:tc>
          <w:tcPr>
            <w:tcW w:w="1811" w:type="dxa"/>
          </w:tcPr>
          <w:p w:rsidR="0037526E" w:rsidRDefault="0037526E" w:rsidP="0037526E">
            <w:pPr>
              <w:jc w:val="center"/>
            </w:pPr>
            <w:r>
              <w:t>0</w:t>
            </w:r>
          </w:p>
        </w:tc>
      </w:tr>
      <w:tr w:rsidR="0037526E" w:rsidTr="0037526E">
        <w:tc>
          <w:tcPr>
            <w:tcW w:w="5917" w:type="dxa"/>
          </w:tcPr>
          <w:p w:rsidR="0037526E" w:rsidRDefault="0037526E" w:rsidP="0037526E">
            <w:pPr>
              <w:ind w:firstLine="360"/>
            </w:pPr>
            <w:r>
              <w:t>Paper and envelopes for surveys</w:t>
            </w:r>
          </w:p>
        </w:tc>
        <w:tc>
          <w:tcPr>
            <w:tcW w:w="1848" w:type="dxa"/>
          </w:tcPr>
          <w:p w:rsidR="0037526E" w:rsidRDefault="0037526E" w:rsidP="0037526E">
            <w:pPr>
              <w:jc w:val="center"/>
            </w:pPr>
            <w:r>
              <w:t>$    250</w:t>
            </w:r>
          </w:p>
        </w:tc>
        <w:tc>
          <w:tcPr>
            <w:tcW w:w="1811" w:type="dxa"/>
          </w:tcPr>
          <w:p w:rsidR="0037526E" w:rsidRDefault="0037526E" w:rsidP="0037526E">
            <w:pPr>
              <w:jc w:val="center"/>
            </w:pPr>
            <w:r>
              <w:t>0</w:t>
            </w:r>
          </w:p>
        </w:tc>
      </w:tr>
      <w:tr w:rsidR="0037526E" w:rsidTr="0037526E">
        <w:tc>
          <w:tcPr>
            <w:tcW w:w="5917" w:type="dxa"/>
          </w:tcPr>
          <w:p w:rsidR="0037526E" w:rsidRDefault="0037526E" w:rsidP="0037526E">
            <w:pPr>
              <w:ind w:firstLine="360"/>
            </w:pPr>
            <w:r>
              <w:t xml:space="preserve">Consultation with </w:t>
            </w:r>
            <w:smartTag w:uri="urn:schemas-microsoft-com:office:smarttags" w:element="place">
              <w:smartTag w:uri="urn:schemas-microsoft-com:office:smarttags" w:element="PlaceName">
                <w:r>
                  <w:t>Survey</w:t>
                </w:r>
              </w:smartTag>
              <w:r>
                <w:t xml:space="preserve"> </w:t>
              </w:r>
              <w:smartTag w:uri="urn:schemas-microsoft-com:office:smarttags" w:element="PlaceName">
                <w:r>
                  <w:t>Research</w:t>
                </w:r>
              </w:smartTag>
              <w:r>
                <w:t xml:space="preserve"> </w:t>
              </w:r>
              <w:smartTag w:uri="urn:schemas-microsoft-com:office:smarttags" w:element="PlaceType">
                <w:r>
                  <w:t>Center</w:t>
                </w:r>
              </w:smartTag>
            </w:smartTag>
            <w:r>
              <w:t>, UC Berkeley</w:t>
            </w:r>
          </w:p>
        </w:tc>
        <w:tc>
          <w:tcPr>
            <w:tcW w:w="1848" w:type="dxa"/>
          </w:tcPr>
          <w:p w:rsidR="0037526E" w:rsidRDefault="0037526E" w:rsidP="0037526E">
            <w:pPr>
              <w:jc w:val="center"/>
            </w:pPr>
            <w:r>
              <w:t>$    125</w:t>
            </w:r>
          </w:p>
        </w:tc>
        <w:tc>
          <w:tcPr>
            <w:tcW w:w="1811" w:type="dxa"/>
          </w:tcPr>
          <w:p w:rsidR="0037526E" w:rsidRDefault="0037526E" w:rsidP="0037526E">
            <w:pPr>
              <w:jc w:val="center"/>
            </w:pPr>
            <w:r>
              <w:t>0</w:t>
            </w:r>
          </w:p>
        </w:tc>
      </w:tr>
      <w:tr w:rsidR="0037526E" w:rsidTr="0037526E">
        <w:tc>
          <w:tcPr>
            <w:tcW w:w="5917" w:type="dxa"/>
          </w:tcPr>
          <w:p w:rsidR="0037526E" w:rsidRDefault="0037526E" w:rsidP="0037526E">
            <w:pPr>
              <w:ind w:firstLine="360"/>
            </w:pPr>
            <w:r>
              <w:t>Conference calls, 8 people for 120 minutes @ $0.09/min.</w:t>
            </w:r>
          </w:p>
        </w:tc>
        <w:tc>
          <w:tcPr>
            <w:tcW w:w="1848" w:type="dxa"/>
          </w:tcPr>
          <w:p w:rsidR="0037526E" w:rsidRDefault="0037526E" w:rsidP="0037526E">
            <w:pPr>
              <w:jc w:val="center"/>
            </w:pPr>
            <w:r>
              <w:t>$      87</w:t>
            </w:r>
          </w:p>
        </w:tc>
        <w:tc>
          <w:tcPr>
            <w:tcW w:w="1811" w:type="dxa"/>
          </w:tcPr>
          <w:p w:rsidR="0037526E" w:rsidRDefault="0037526E" w:rsidP="0037526E">
            <w:pPr>
              <w:jc w:val="center"/>
            </w:pPr>
            <w:r>
              <w:t>0</w:t>
            </w:r>
          </w:p>
        </w:tc>
      </w:tr>
      <w:tr w:rsidR="0037526E" w:rsidTr="0037526E">
        <w:tc>
          <w:tcPr>
            <w:tcW w:w="5917" w:type="dxa"/>
          </w:tcPr>
          <w:p w:rsidR="0037526E" w:rsidRDefault="0037526E" w:rsidP="0037526E">
            <w:pPr>
              <w:ind w:firstLine="360"/>
            </w:pPr>
            <w:r>
              <w:t>Misc. office supplies</w:t>
            </w:r>
          </w:p>
        </w:tc>
        <w:tc>
          <w:tcPr>
            <w:tcW w:w="1848" w:type="dxa"/>
          </w:tcPr>
          <w:p w:rsidR="0037526E" w:rsidRDefault="0037526E" w:rsidP="0037526E">
            <w:pPr>
              <w:jc w:val="center"/>
            </w:pPr>
            <w:r>
              <w:t>$      50</w:t>
            </w:r>
          </w:p>
        </w:tc>
        <w:tc>
          <w:tcPr>
            <w:tcW w:w="1811" w:type="dxa"/>
          </w:tcPr>
          <w:p w:rsidR="0037526E" w:rsidRDefault="0037526E" w:rsidP="0037526E">
            <w:pPr>
              <w:jc w:val="center"/>
            </w:pPr>
            <w:r>
              <w:t>0</w:t>
            </w:r>
          </w:p>
        </w:tc>
      </w:tr>
      <w:tr w:rsidR="0037526E" w:rsidTr="0037526E">
        <w:tc>
          <w:tcPr>
            <w:tcW w:w="5917" w:type="dxa"/>
          </w:tcPr>
          <w:p w:rsidR="0037526E" w:rsidRDefault="0037526E" w:rsidP="00AF7FD1"/>
        </w:tc>
        <w:tc>
          <w:tcPr>
            <w:tcW w:w="1848" w:type="dxa"/>
          </w:tcPr>
          <w:p w:rsidR="0037526E" w:rsidRDefault="0037526E" w:rsidP="0037526E">
            <w:pPr>
              <w:jc w:val="center"/>
            </w:pPr>
          </w:p>
        </w:tc>
        <w:tc>
          <w:tcPr>
            <w:tcW w:w="1811" w:type="dxa"/>
          </w:tcPr>
          <w:p w:rsidR="0037526E" w:rsidRDefault="0037526E" w:rsidP="0037526E">
            <w:pPr>
              <w:jc w:val="center"/>
            </w:pPr>
          </w:p>
        </w:tc>
      </w:tr>
      <w:tr w:rsidR="0037526E" w:rsidTr="0037526E">
        <w:tc>
          <w:tcPr>
            <w:tcW w:w="5917" w:type="dxa"/>
          </w:tcPr>
          <w:p w:rsidR="0037526E" w:rsidRPr="0037526E" w:rsidRDefault="0037526E" w:rsidP="00AF7FD1">
            <w:pPr>
              <w:rPr>
                <w:b/>
              </w:rPr>
            </w:pPr>
            <w:r w:rsidRPr="0037526E">
              <w:rPr>
                <w:b/>
              </w:rPr>
              <w:t>C.  Travel</w:t>
            </w:r>
          </w:p>
        </w:tc>
        <w:tc>
          <w:tcPr>
            <w:tcW w:w="1848" w:type="dxa"/>
          </w:tcPr>
          <w:p w:rsidR="0037526E" w:rsidRDefault="0037526E" w:rsidP="0037526E">
            <w:pPr>
              <w:jc w:val="center"/>
            </w:pPr>
          </w:p>
        </w:tc>
        <w:tc>
          <w:tcPr>
            <w:tcW w:w="1811" w:type="dxa"/>
          </w:tcPr>
          <w:p w:rsidR="0037526E" w:rsidRDefault="0037526E" w:rsidP="0037526E">
            <w:pPr>
              <w:jc w:val="center"/>
            </w:pPr>
          </w:p>
        </w:tc>
      </w:tr>
      <w:tr w:rsidR="0037526E" w:rsidTr="0037526E">
        <w:tc>
          <w:tcPr>
            <w:tcW w:w="5917" w:type="dxa"/>
          </w:tcPr>
          <w:p w:rsidR="0037526E" w:rsidRDefault="0037526E" w:rsidP="00AF7FD1">
            <w:r>
              <w:t xml:space="preserve">10 trips between </w:t>
            </w:r>
            <w:smartTag w:uri="urn:schemas-microsoft-com:office:smarttags" w:element="City">
              <w:smartTag w:uri="urn:schemas-microsoft-com:office:smarttags" w:element="place">
                <w:r>
                  <w:t>Fairfield</w:t>
                </w:r>
              </w:smartTag>
            </w:smartTag>
            <w:r>
              <w:t xml:space="preserve"> and </w:t>
            </w:r>
            <w:smartTag w:uri="urn:schemas-microsoft-com:office:smarttags" w:element="City">
              <w:smartTag w:uri="urn:schemas-microsoft-com:office:smarttags" w:element="place">
                <w:r>
                  <w:t>Davis</w:t>
                </w:r>
              </w:smartTag>
            </w:smartTag>
            <w:r>
              <w:t xml:space="preserve"> @ $ 23.00 each</w:t>
            </w:r>
          </w:p>
        </w:tc>
        <w:tc>
          <w:tcPr>
            <w:tcW w:w="1848" w:type="dxa"/>
          </w:tcPr>
          <w:p w:rsidR="0037526E" w:rsidRDefault="0037526E" w:rsidP="0037526E">
            <w:pPr>
              <w:jc w:val="center"/>
            </w:pPr>
            <w:r>
              <w:t>$    230</w:t>
            </w:r>
          </w:p>
        </w:tc>
        <w:tc>
          <w:tcPr>
            <w:tcW w:w="1811" w:type="dxa"/>
          </w:tcPr>
          <w:p w:rsidR="0037526E" w:rsidRDefault="0037526E" w:rsidP="0037526E">
            <w:pPr>
              <w:jc w:val="center"/>
            </w:pPr>
            <w:r>
              <w:t>0</w:t>
            </w:r>
          </w:p>
        </w:tc>
      </w:tr>
      <w:tr w:rsidR="0037526E" w:rsidTr="0037526E">
        <w:tc>
          <w:tcPr>
            <w:tcW w:w="5917" w:type="dxa"/>
          </w:tcPr>
          <w:p w:rsidR="0037526E" w:rsidRDefault="0037526E" w:rsidP="00AF7FD1"/>
        </w:tc>
        <w:tc>
          <w:tcPr>
            <w:tcW w:w="1848" w:type="dxa"/>
          </w:tcPr>
          <w:p w:rsidR="0037526E" w:rsidRDefault="0037526E" w:rsidP="0037526E">
            <w:pPr>
              <w:jc w:val="center"/>
            </w:pPr>
          </w:p>
        </w:tc>
        <w:tc>
          <w:tcPr>
            <w:tcW w:w="1811" w:type="dxa"/>
          </w:tcPr>
          <w:p w:rsidR="0037526E" w:rsidRDefault="0037526E" w:rsidP="0037526E">
            <w:pPr>
              <w:jc w:val="center"/>
            </w:pPr>
          </w:p>
        </w:tc>
      </w:tr>
      <w:tr w:rsidR="0037526E" w:rsidTr="0037526E">
        <w:tc>
          <w:tcPr>
            <w:tcW w:w="5917" w:type="dxa"/>
          </w:tcPr>
          <w:p w:rsidR="0037526E" w:rsidRPr="0037526E" w:rsidRDefault="0037526E" w:rsidP="00AF7FD1">
            <w:pPr>
              <w:rPr>
                <w:b/>
              </w:rPr>
            </w:pPr>
            <w:r w:rsidRPr="0037526E">
              <w:rPr>
                <w:b/>
              </w:rPr>
              <w:t>TOTALS</w:t>
            </w:r>
          </w:p>
        </w:tc>
        <w:tc>
          <w:tcPr>
            <w:tcW w:w="1848" w:type="dxa"/>
          </w:tcPr>
          <w:p w:rsidR="0037526E" w:rsidRPr="0037526E" w:rsidRDefault="0037526E" w:rsidP="0037526E">
            <w:pPr>
              <w:jc w:val="center"/>
              <w:rPr>
                <w:b/>
              </w:rPr>
            </w:pPr>
            <w:r w:rsidRPr="0037526E">
              <w:rPr>
                <w:b/>
              </w:rPr>
              <w:t>$ 9,976</w:t>
            </w:r>
          </w:p>
        </w:tc>
        <w:tc>
          <w:tcPr>
            <w:tcW w:w="1811" w:type="dxa"/>
          </w:tcPr>
          <w:p w:rsidR="0037526E" w:rsidRPr="0037526E" w:rsidRDefault="0037526E" w:rsidP="0037526E">
            <w:pPr>
              <w:jc w:val="center"/>
              <w:rPr>
                <w:b/>
              </w:rPr>
            </w:pPr>
            <w:r>
              <w:rPr>
                <w:b/>
              </w:rPr>
              <w:t>0</w:t>
            </w:r>
          </w:p>
        </w:tc>
      </w:tr>
    </w:tbl>
    <w:p w:rsidR="0037526E" w:rsidRDefault="0037526E" w:rsidP="006763A2"/>
    <w:p w:rsidR="00A87C9E" w:rsidRDefault="00A87C9E"/>
    <w:p w:rsidR="008B6790" w:rsidRPr="00A87C9E" w:rsidRDefault="00A87C9E">
      <w:pPr>
        <w:rPr>
          <w:b/>
        </w:rPr>
      </w:pPr>
      <w:r>
        <w:br w:type="page"/>
      </w:r>
      <w:r w:rsidRPr="00A87C9E">
        <w:rPr>
          <w:b/>
        </w:rPr>
        <w:lastRenderedPageBreak/>
        <w:t>II.  Goals and Objectives</w:t>
      </w:r>
    </w:p>
    <w:p w:rsidR="00A87C9E" w:rsidRDefault="00A87C9E"/>
    <w:p w:rsidR="00A87C9E" w:rsidRDefault="00A87C9E" w:rsidP="00A87C9E">
      <w:r>
        <w:t xml:space="preserve">The goal of this project is to quantify the need for small-scale livestock harvesting and processing facilities </w:t>
      </w:r>
      <w:r w:rsidR="00AB3910">
        <w:t xml:space="preserve">in Northern California </w:t>
      </w:r>
      <w:r>
        <w:t>and to extend this information to targeted audiences.</w:t>
      </w:r>
    </w:p>
    <w:p w:rsidR="00A87C9E" w:rsidRPr="003E6586" w:rsidRDefault="00A87C9E" w:rsidP="00A87C9E">
      <w:pPr>
        <w:rPr>
          <w:sz w:val="16"/>
          <w:szCs w:val="16"/>
        </w:rPr>
      </w:pPr>
    </w:p>
    <w:p w:rsidR="00A87C9E" w:rsidRDefault="00A87C9E" w:rsidP="00A87C9E">
      <w:r>
        <w:t xml:space="preserve">The objectives for the project are to quantify various factors that describe the current and desired supply </w:t>
      </w:r>
      <w:r w:rsidR="00100E4D">
        <w:t>of and demand for</w:t>
      </w:r>
      <w:r>
        <w:t xml:space="preserve"> harvesting and processing services, and determine optimal geographic locations for new facilities.</w:t>
      </w:r>
    </w:p>
    <w:p w:rsidR="00A87C9E" w:rsidRPr="003E6586" w:rsidRDefault="00A87C9E" w:rsidP="00A87C9E">
      <w:pPr>
        <w:rPr>
          <w:sz w:val="16"/>
          <w:szCs w:val="16"/>
        </w:rPr>
      </w:pPr>
    </w:p>
    <w:p w:rsidR="00A87C9E" w:rsidRPr="00233974" w:rsidRDefault="00A87C9E" w:rsidP="00A87C9E">
      <w:pPr>
        <w:rPr>
          <w:u w:val="single"/>
        </w:rPr>
      </w:pPr>
      <w:r w:rsidRPr="00233974">
        <w:rPr>
          <w:u w:val="single"/>
        </w:rPr>
        <w:t>Specific objectives:</w:t>
      </w:r>
    </w:p>
    <w:p w:rsidR="00A87C9E" w:rsidRDefault="00A87C9E" w:rsidP="00A87C9E">
      <w:pPr>
        <w:numPr>
          <w:ilvl w:val="0"/>
          <w:numId w:val="1"/>
        </w:numPr>
        <w:tabs>
          <w:tab w:val="clear" w:pos="720"/>
          <w:tab w:val="num" w:pos="360"/>
        </w:tabs>
        <w:ind w:left="360"/>
      </w:pPr>
      <w:r>
        <w:t>Survey approximately 300 Northern California ranchers to determine:</w:t>
      </w:r>
    </w:p>
    <w:p w:rsidR="00A87C9E" w:rsidRDefault="00A87C9E" w:rsidP="00A87C9E">
      <w:pPr>
        <w:numPr>
          <w:ilvl w:val="1"/>
          <w:numId w:val="1"/>
        </w:numPr>
      </w:pPr>
      <w:r>
        <w:t>their current niche marketing efforts and success.</w:t>
      </w:r>
    </w:p>
    <w:p w:rsidR="00A87C9E" w:rsidRDefault="00A87C9E" w:rsidP="00A87C9E">
      <w:pPr>
        <w:numPr>
          <w:ilvl w:val="1"/>
          <w:numId w:val="1"/>
        </w:numPr>
      </w:pPr>
      <w:r>
        <w:t>their interest in entering and expanding niche market sales.</w:t>
      </w:r>
    </w:p>
    <w:p w:rsidR="00A87C9E" w:rsidRDefault="00A87C9E" w:rsidP="00A87C9E">
      <w:pPr>
        <w:numPr>
          <w:ilvl w:val="1"/>
          <w:numId w:val="1"/>
        </w:numPr>
      </w:pPr>
      <w:r>
        <w:t>the species and number of livestock they would like to process.</w:t>
      </w:r>
    </w:p>
    <w:p w:rsidR="00A87C9E" w:rsidRDefault="00A87C9E" w:rsidP="00A87C9E">
      <w:pPr>
        <w:numPr>
          <w:ilvl w:val="1"/>
          <w:numId w:val="1"/>
        </w:numPr>
      </w:pPr>
      <w:r>
        <w:t>the time of year they would seek processing services.</w:t>
      </w:r>
    </w:p>
    <w:p w:rsidR="00A87C9E" w:rsidRDefault="00A87C9E" w:rsidP="00A87C9E">
      <w:pPr>
        <w:numPr>
          <w:ilvl w:val="1"/>
          <w:numId w:val="1"/>
        </w:numPr>
      </w:pPr>
      <w:r>
        <w:t>the type of processing they need (USDA and non-USDA inspection).</w:t>
      </w:r>
    </w:p>
    <w:p w:rsidR="00A87C9E" w:rsidRDefault="00A87C9E" w:rsidP="00A87C9E">
      <w:pPr>
        <w:numPr>
          <w:ilvl w:val="1"/>
          <w:numId w:val="1"/>
        </w:numPr>
      </w:pPr>
      <w:r>
        <w:t>the type of product they produce (organic, grass-fed, natural, etc.).</w:t>
      </w:r>
    </w:p>
    <w:p w:rsidR="00A87C9E" w:rsidRDefault="00A87C9E" w:rsidP="00A87C9E">
      <w:pPr>
        <w:numPr>
          <w:ilvl w:val="1"/>
          <w:numId w:val="1"/>
        </w:numPr>
      </w:pPr>
      <w:r>
        <w:t>which special value-added products they would offer.</w:t>
      </w:r>
    </w:p>
    <w:p w:rsidR="00A87C9E" w:rsidRDefault="00A87C9E" w:rsidP="00A87C9E">
      <w:pPr>
        <w:numPr>
          <w:ilvl w:val="1"/>
          <w:numId w:val="1"/>
        </w:numPr>
      </w:pPr>
      <w:r>
        <w:t>the types and locations of their target markets.</w:t>
      </w:r>
    </w:p>
    <w:p w:rsidR="00A87C9E" w:rsidRDefault="00A87C9E" w:rsidP="00A87C9E">
      <w:pPr>
        <w:numPr>
          <w:ilvl w:val="1"/>
          <w:numId w:val="1"/>
        </w:numPr>
      </w:pPr>
      <w:r>
        <w:t>their geographical preferences for processing facilities.</w:t>
      </w:r>
    </w:p>
    <w:p w:rsidR="00A87C9E" w:rsidRDefault="00A87C9E" w:rsidP="00A87C9E">
      <w:pPr>
        <w:numPr>
          <w:ilvl w:val="0"/>
          <w:numId w:val="1"/>
        </w:numPr>
        <w:tabs>
          <w:tab w:val="clear" w:pos="720"/>
          <w:tab w:val="num" w:pos="360"/>
        </w:tabs>
        <w:ind w:left="360"/>
      </w:pPr>
      <w:r>
        <w:t xml:space="preserve">Survey current livestock harvesting and processing facilities in </w:t>
      </w:r>
      <w:smartTag w:uri="urn:schemas-microsoft-com:office:smarttags" w:element="place">
        <w:r>
          <w:t>Northern California</w:t>
        </w:r>
      </w:smartTag>
      <w:r>
        <w:t xml:space="preserve"> to determine the current processing capacity.</w:t>
      </w:r>
    </w:p>
    <w:p w:rsidR="00A87C9E" w:rsidRDefault="00A87C9E" w:rsidP="00A87C9E">
      <w:pPr>
        <w:numPr>
          <w:ilvl w:val="0"/>
          <w:numId w:val="1"/>
        </w:numPr>
        <w:tabs>
          <w:tab w:val="clear" w:pos="720"/>
          <w:tab w:val="num" w:pos="360"/>
        </w:tabs>
        <w:ind w:left="360"/>
      </w:pPr>
      <w:r>
        <w:t>Extend project conclusions to target audiences through publications, newsletters, workshops and conferences.</w:t>
      </w:r>
    </w:p>
    <w:p w:rsidR="00A87C9E" w:rsidRDefault="00A87C9E"/>
    <w:p w:rsidR="00A87C9E" w:rsidRPr="00AB3910" w:rsidRDefault="00A87C9E">
      <w:pPr>
        <w:rPr>
          <w:b/>
        </w:rPr>
      </w:pPr>
      <w:r w:rsidRPr="00AB3910">
        <w:rPr>
          <w:b/>
        </w:rPr>
        <w:t>III.  Summary</w:t>
      </w:r>
    </w:p>
    <w:p w:rsidR="00A87C9E" w:rsidRDefault="00A87C9E"/>
    <w:p w:rsidR="00174D80" w:rsidRDefault="00174D80" w:rsidP="00174D80">
      <w:r>
        <w:t>T</w:t>
      </w:r>
      <w:r w:rsidRPr="007F72B1">
        <w:t xml:space="preserve">his project </w:t>
      </w:r>
      <w:r>
        <w:t xml:space="preserve">seeks </w:t>
      </w:r>
      <w:r w:rsidRPr="007F72B1">
        <w:t>to quantify the need for small</w:t>
      </w:r>
      <w:r>
        <w:t>-</w:t>
      </w:r>
      <w:r w:rsidRPr="007F72B1">
        <w:t xml:space="preserve">scale livestock harvesting (slaughtering) and processing (butchering) </w:t>
      </w:r>
      <w:r>
        <w:t>services</w:t>
      </w:r>
      <w:r w:rsidRPr="007F72B1">
        <w:t xml:space="preserve"> in Northern California</w:t>
      </w:r>
      <w:r>
        <w:t xml:space="preserve"> and</w:t>
      </w:r>
      <w:r w:rsidRPr="007F72B1">
        <w:t xml:space="preserve"> determine ideal geographic are</w:t>
      </w:r>
      <w:r>
        <w:t>as for such</w:t>
      </w:r>
      <w:r w:rsidRPr="007F72B1">
        <w:t xml:space="preserve"> business</w:t>
      </w:r>
      <w:r>
        <w:t>es</w:t>
      </w:r>
      <w:r w:rsidRPr="007F72B1">
        <w:t>.  In Northern California many livestock producers are l</w:t>
      </w:r>
      <w:r>
        <w:t>ooking toward niche markets as</w:t>
      </w:r>
      <w:r w:rsidRPr="007F72B1">
        <w:t xml:space="preserve"> more profitable outlet</w:t>
      </w:r>
      <w:r>
        <w:t>s</w:t>
      </w:r>
      <w:r w:rsidRPr="007F72B1">
        <w:t xml:space="preserve"> for meat products.  A problem that prevents or slows entry into niche markets is the </w:t>
      </w:r>
      <w:r>
        <w:t>lack</w:t>
      </w:r>
      <w:r w:rsidRPr="007F72B1">
        <w:t xml:space="preserve"> of USDA</w:t>
      </w:r>
      <w:r>
        <w:t>-</w:t>
      </w:r>
      <w:r w:rsidRPr="007F72B1">
        <w:t xml:space="preserve"> and State</w:t>
      </w:r>
      <w:r>
        <w:t>-</w:t>
      </w:r>
      <w:r w:rsidRPr="007F72B1">
        <w:t xml:space="preserve">inspected </w:t>
      </w:r>
      <w:r>
        <w:t xml:space="preserve">harvesting and processing facilities.  </w:t>
      </w:r>
      <w:r w:rsidR="00100E4D">
        <w:t>Groups of producers have expressed c</w:t>
      </w:r>
      <w:r>
        <w:t xml:space="preserve">onsiderable interest </w:t>
      </w:r>
      <w:r w:rsidR="00100E4D">
        <w:t>in</w:t>
      </w:r>
      <w:r>
        <w:t xml:space="preserve"> construct</w:t>
      </w:r>
      <w:r w:rsidR="00100E4D">
        <w:t>ing</w:t>
      </w:r>
      <w:r>
        <w:t xml:space="preserve"> new facilities in Northern California.  In order to determine the </w:t>
      </w:r>
      <w:r w:rsidR="0083517D">
        <w:t xml:space="preserve">demand </w:t>
      </w:r>
      <w:r>
        <w:t>for harvesting and processing services we survey</w:t>
      </w:r>
      <w:r w:rsidR="0083517D">
        <w:t>ed</w:t>
      </w:r>
      <w:r>
        <w:t xml:space="preserve"> livestock producers throughout Northern California to </w:t>
      </w:r>
      <w:r w:rsidR="0083517D">
        <w:t>quantify</w:t>
      </w:r>
      <w:r>
        <w:t xml:space="preserve"> their interest in new livestock harvesting and processing facilities, the type and number of animals they would like to process, and preferred geographical locations for such facilities.</w:t>
      </w:r>
    </w:p>
    <w:p w:rsidR="0083517D" w:rsidRDefault="0083517D" w:rsidP="00174D80"/>
    <w:p w:rsidR="0083517D" w:rsidRDefault="009D27C5" w:rsidP="00174D80">
      <w:r>
        <w:t xml:space="preserve">In August of 2006, we sent a four-page survey to </w:t>
      </w:r>
      <w:r w:rsidR="00100E4D">
        <w:t>livestock producers</w:t>
      </w:r>
      <w:r>
        <w:t xml:space="preserve"> throughout Northern California using addresses provided </w:t>
      </w:r>
      <w:r w:rsidR="00100E4D">
        <w:t>by</w:t>
      </w:r>
      <w:r>
        <w:t xml:space="preserve"> UCCE Livestock Advisors.  </w:t>
      </w:r>
      <w:r w:rsidR="0083517D">
        <w:t>A tota</w:t>
      </w:r>
      <w:r>
        <w:t xml:space="preserve">l of 5,312 surveys were sent </w:t>
      </w:r>
      <w:r w:rsidR="0083517D">
        <w:t xml:space="preserve">with </w:t>
      </w:r>
      <w:r w:rsidR="0073236F">
        <w:t xml:space="preserve">497 completed surveys returned, </w:t>
      </w:r>
      <w:r w:rsidR="00D53E69">
        <w:t xml:space="preserve">equaling a 9.4% return rate.  </w:t>
      </w:r>
      <w:r>
        <w:t xml:space="preserve">Data entry of all returned surveys was completed in mid-summer 2007.  As of August 2007, we are conducting data quality control checks in preparation for statistical analysis.  Although the statistical analysis is not complete, a partial view </w:t>
      </w:r>
      <w:r w:rsidR="00100E4D">
        <w:t>of</w:t>
      </w:r>
      <w:r>
        <w:t xml:space="preserve"> the data demonstrates the need for small-scale livestock processing facilities.</w:t>
      </w:r>
    </w:p>
    <w:p w:rsidR="009D27C5" w:rsidRDefault="009D27C5" w:rsidP="00174D80"/>
    <w:p w:rsidR="009D27C5" w:rsidRDefault="009D7C5D" w:rsidP="00174D80">
      <w:r>
        <w:lastRenderedPageBreak/>
        <w:t xml:space="preserve">Preliminary survey results show that respondents are generally satisfied with the quality and timeliness of service they currently receive from existing </w:t>
      </w:r>
      <w:r w:rsidR="004477B6">
        <w:t xml:space="preserve">processing </w:t>
      </w:r>
      <w:r>
        <w:t xml:space="preserve">facilities, but over 70% indicate that the current availability and accessibility is either </w:t>
      </w:r>
      <w:r w:rsidR="00092657">
        <w:t xml:space="preserve">very deficient (52%) or </w:t>
      </w:r>
      <w:r>
        <w:t xml:space="preserve">slightly below </w:t>
      </w:r>
      <w:r w:rsidR="00092657">
        <w:t xml:space="preserve">(20%) </w:t>
      </w:r>
      <w:r>
        <w:t xml:space="preserve">the current demand of such services.  </w:t>
      </w:r>
      <w:r w:rsidR="00092657">
        <w:t>R</w:t>
      </w:r>
      <w:r w:rsidR="004477B6">
        <w:t xml:space="preserve">espondents </w:t>
      </w:r>
      <w:r w:rsidR="00092657">
        <w:t xml:space="preserve">(56%) </w:t>
      </w:r>
      <w:r w:rsidR="004477B6">
        <w:t>who indicated interest in using small-sc</w:t>
      </w:r>
      <w:r w:rsidR="00092657">
        <w:t xml:space="preserve">ale processing facilities </w:t>
      </w:r>
      <w:r w:rsidR="00D42020">
        <w:t>identified acce</w:t>
      </w:r>
      <w:r w:rsidR="00BE5B57">
        <w:t>ss to slaughter and processing</w:t>
      </w:r>
      <w:r w:rsidR="00D42020">
        <w:t xml:space="preserve"> services as the largest barriers that limit entry into alternative niche markets</w:t>
      </w:r>
      <w:r w:rsidR="00092657">
        <w:t xml:space="preserve">.  They also indicated that they would be most interested in selling their meat products in the following markets in descending order:  local counties, adjacent counties, the Bay Area, the Sacramento region, internet sales, and Southern California.  </w:t>
      </w:r>
    </w:p>
    <w:p w:rsidR="009D27C5" w:rsidRDefault="009D27C5" w:rsidP="00174D80"/>
    <w:p w:rsidR="00174D80" w:rsidRDefault="00092657">
      <w:r>
        <w:t xml:space="preserve">The survey results indicate that Northern California livestock producers </w:t>
      </w:r>
      <w:r w:rsidR="00E357D5">
        <w:t>have a desire to market meat products in local and regional niche markets, but are limited by access to slaughtering and processing facilities.  If new facilities are built</w:t>
      </w:r>
      <w:r w:rsidR="00BE5B57">
        <w:t xml:space="preserve"> to meet the current demand</w:t>
      </w:r>
      <w:r w:rsidR="00E357D5">
        <w:t xml:space="preserve">, strategic locations </w:t>
      </w:r>
      <w:r w:rsidR="00BE5B57">
        <w:t>should be sought to</w:t>
      </w:r>
      <w:r w:rsidR="00E357D5">
        <w:t xml:space="preserve"> minimize the travel distance from livestock production centers to </w:t>
      </w:r>
      <w:r w:rsidR="00BE5B57">
        <w:t xml:space="preserve">slaughtering and </w:t>
      </w:r>
      <w:r w:rsidR="00E357D5">
        <w:t xml:space="preserve">processing facilities and </w:t>
      </w:r>
      <w:r w:rsidR="00BE5B57">
        <w:t xml:space="preserve">then to </w:t>
      </w:r>
      <w:r w:rsidR="00E357D5">
        <w:t xml:space="preserve">suitable markets for meat products.  </w:t>
      </w:r>
      <w:r w:rsidR="00100E4D">
        <w:t>Most survey respondents are unwilling</w:t>
      </w:r>
      <w:r w:rsidR="00BE5B57">
        <w:t xml:space="preserve"> to travel beyond 90 minutes when delivering live animals to slaughter facilities.  Almost 90% of respondents are willing to travel 60 minutes, but 55</w:t>
      </w:r>
      <w:r w:rsidR="001B5E58">
        <w:t>% are willing to travel 90 minutes and only 28% will travel up to 120 minutes.</w:t>
      </w:r>
    </w:p>
    <w:p w:rsidR="00273F57" w:rsidRDefault="00273F57"/>
    <w:p w:rsidR="00273F57" w:rsidRPr="00092657" w:rsidRDefault="00273F57">
      <w:pPr>
        <w:rPr>
          <w:b/>
        </w:rPr>
      </w:pPr>
      <w:r>
        <w:t>A more comprehensive data analysis that will be completed by late-2007 will provide details on demand for slaughtering and processing services at a county scale, which will be useful in determining strategic locations for new facilities in Northern California.</w:t>
      </w:r>
    </w:p>
    <w:p w:rsidR="00A87C9E" w:rsidRDefault="00A87C9E"/>
    <w:p w:rsidR="00273F57" w:rsidRDefault="00273F57"/>
    <w:p w:rsidR="00273F57" w:rsidRPr="00CD4D3F" w:rsidRDefault="00273F57">
      <w:pPr>
        <w:rPr>
          <w:b/>
        </w:rPr>
      </w:pPr>
      <w:r w:rsidRPr="00CD4D3F">
        <w:rPr>
          <w:b/>
        </w:rPr>
        <w:t>IV.  Project Results and Outcome</w:t>
      </w:r>
    </w:p>
    <w:p w:rsidR="00273F57" w:rsidRDefault="00273F57"/>
    <w:p w:rsidR="001D7880" w:rsidRDefault="001D7880" w:rsidP="001D7880">
      <w:r>
        <w:t>Livestock producers typically sell their animals through traditional markets such as auction yards and brokers.  These market segments usually broker the sale of young animals from livestock producers to other producers for further grazing or to feed lots for finishing (fattening) on high-grain diets prior to slaughter.  Fattened animals are then sold to meat packing companies that harvest the animals and package meat cuts for final distribution to meat wholesalers and retailers.  Consolidation of meat packers in the United States has improved efficiency in the meat processing industry, but has not necessarily benefited livestock producers (Azzam and Schroeter 1997), and is often blamed for the closing of small-scale meat processing facilities.  Large meat packing companies will continue to have an important role in providing lower-cost products to consumers in the foreseeable future, but they have difficulty supplying meat to consumers demanding locally raised, organic, natural,</w:t>
      </w:r>
      <w:r w:rsidR="00503947">
        <w:t xml:space="preserve"> grass-fed and humanely treated products.</w:t>
      </w:r>
    </w:p>
    <w:p w:rsidR="001D7880" w:rsidRDefault="001D7880" w:rsidP="001D7880"/>
    <w:p w:rsidR="006F34E7" w:rsidRDefault="005E71A8">
      <w:r>
        <w:t xml:space="preserve">This project was structured to accomplish the stated goal of quantifying the need for small-scale livestock slaughtering and processing </w:t>
      </w:r>
      <w:r w:rsidR="00503947">
        <w:t xml:space="preserve">(slaughter and processing will be referred to collectively as processing in the remainder of this report) </w:t>
      </w:r>
      <w:r>
        <w:t>facilities in Northern California and to extend this information to targeted audiences.  To accomplish this goal we surveyed 497 livestock producers, which represent 9.4% of the 5,312 surveys that were sent in August 2006.  The final number of 497 completed surveys is almost 200 more than the initial objective of surveying 300 producers.  The number and percentage of returned surveys by county is shown in Figure</w:t>
      </w:r>
      <w:r w:rsidR="00BC3BD4">
        <w:t xml:space="preserve"> 1.  </w:t>
      </w:r>
      <w:r w:rsidR="006C126A">
        <w:t xml:space="preserve">Farm size profiles (Figure 2) for the respondents were generally consistent with California data </w:t>
      </w:r>
      <w:r w:rsidR="006C126A">
        <w:lastRenderedPageBreak/>
        <w:t>from the Census of Agriculture (USDA, 2002) with respect to farm size and the ratio of beef to sheep producers.</w:t>
      </w:r>
      <w:r w:rsidR="00065C55">
        <w:t xml:space="preserve">  Producers with </w:t>
      </w:r>
      <w:r w:rsidR="00100E4D">
        <w:t>fewer</w:t>
      </w:r>
      <w:r w:rsidR="00065C55">
        <w:t xml:space="preserve"> than 50 animals comprised the greatest number of respondents in all animal class categories.</w:t>
      </w:r>
    </w:p>
    <w:p w:rsidR="00056D71" w:rsidRDefault="00056D71"/>
    <w:p w:rsidR="003B10A4" w:rsidRDefault="003F2752">
      <w:r>
        <w:t xml:space="preserve">Survey questions were formulated to </w:t>
      </w:r>
      <w:r w:rsidR="00065C55">
        <w:t>solicit information from respondents on current niche marketing efforts, satisfaction with current processing</w:t>
      </w:r>
      <w:r w:rsidR="00503947">
        <w:t xml:space="preserve"> </w:t>
      </w:r>
      <w:r w:rsidR="00065C55">
        <w:t xml:space="preserve">infrastructure and services, preferences </w:t>
      </w:r>
      <w:r w:rsidR="00100E4D">
        <w:t>for</w:t>
      </w:r>
      <w:r w:rsidR="00065C55">
        <w:t xml:space="preserve"> services and location of processing facilities, and how much they would utilize processing facilities if they were available.  Questions and survey form format were developed through the collaboration of all the team members v</w:t>
      </w:r>
      <w:r w:rsidR="003B10A4">
        <w:t>ia email and conference calls.</w:t>
      </w:r>
    </w:p>
    <w:p w:rsidR="003B10A4" w:rsidRDefault="003B10A4"/>
    <w:p w:rsidR="003B10A4" w:rsidRDefault="007C423B">
      <w:r>
        <w:t xml:space="preserve">Livestock producer addresses were obtained from newsletter mailing lists maintained by UCCE livestock advisors throughout Northern California.  Addresses that were obviously not of a livestock producer were removed from the mailing list, resulting in a final list of 5,967 addresses that received a survey.  A total of 655 surveys were returned either by the Postal Service and marked as “Not Deliverable” or </w:t>
      </w:r>
      <w:r w:rsidR="001F7482">
        <w:t>by people who stated that they do not have livestock and are not interested in the survey.  The 655 returned surveys was subtracted from the total number sent (5,967) to establish the final number of 5,312 surveys that are assumed to have been sent to legitimate livestock producers.</w:t>
      </w:r>
    </w:p>
    <w:p w:rsidR="003B10A4" w:rsidRDefault="003B10A4"/>
    <w:p w:rsidR="001F7482" w:rsidRDefault="003B10A4">
      <w:r>
        <w:t xml:space="preserve">Although a submission deadline was set for September 8, 2006, completed surveys continued to arrive through January 2007.  A standard numeric score was set for each survey answer and all answers on each completed survey were translated to a numeric score sheet for </w:t>
      </w:r>
      <w:r w:rsidR="00100E4D">
        <w:t>a more efficient data entry process.</w:t>
      </w:r>
    </w:p>
    <w:p w:rsidR="003B10A4" w:rsidRDefault="003B10A4"/>
    <w:p w:rsidR="003B10A4" w:rsidRDefault="00B22C32">
      <w:r>
        <w:t>P</w:t>
      </w:r>
      <w:r w:rsidR="0012194A">
        <w:t xml:space="preserve">reliminary survey results </w:t>
      </w:r>
      <w:r>
        <w:t xml:space="preserve">indicate that livestock producers are generally satisfied with the existing </w:t>
      </w:r>
      <w:r w:rsidR="000867A9">
        <w:t xml:space="preserve">processing </w:t>
      </w:r>
      <w:r>
        <w:t xml:space="preserve">facilities, but the number of facilities </w:t>
      </w:r>
      <w:r w:rsidR="000867A9">
        <w:t>is</w:t>
      </w:r>
      <w:r>
        <w:t xml:space="preserve"> insufficient to meet the current demand </w:t>
      </w:r>
      <w:r w:rsidR="005C743C">
        <w:t>for</w:t>
      </w:r>
      <w:r>
        <w:t xml:space="preserve"> such services.  </w:t>
      </w:r>
      <w:r w:rsidR="00123B36">
        <w:t xml:space="preserve">When asked to rate their satisfaction with current services on a scale of 1 to 5 (1=not satisfied, 5=very satisfied), the average response was 3.6 for both quality (Figure 3) and timeliness (Figure 4).  </w:t>
      </w:r>
      <w:r w:rsidR="00B26CAB">
        <w:t xml:space="preserve">Despite their </w:t>
      </w:r>
      <w:r w:rsidR="00182464">
        <w:t xml:space="preserve">high </w:t>
      </w:r>
      <w:r w:rsidR="00B26CAB">
        <w:t>satisfaction with current services,</w:t>
      </w:r>
      <w:r w:rsidR="00123B36">
        <w:t xml:space="preserve"> 72% of respondents indicated that the current facilities are not meeting the current demand</w:t>
      </w:r>
      <w:r w:rsidR="00140388">
        <w:t>,</w:t>
      </w:r>
      <w:r w:rsidR="00123B36">
        <w:t xml:space="preserve"> with 52% saying the availability and accessibility i</w:t>
      </w:r>
      <w:r w:rsidR="001E356D">
        <w:t xml:space="preserve">s very deficient (Figure 5).  Further questions indicated that access to processing services </w:t>
      </w:r>
      <w:r w:rsidR="00E27E18">
        <w:t>is the largest barrier</w:t>
      </w:r>
      <w:r w:rsidR="001E356D">
        <w:t xml:space="preserve"> that limit</w:t>
      </w:r>
      <w:r w:rsidR="00E27E18">
        <w:t>s</w:t>
      </w:r>
      <w:r w:rsidR="001E356D">
        <w:t xml:space="preserve"> entry into alternative niche markets for selling meat products.</w:t>
      </w:r>
    </w:p>
    <w:p w:rsidR="00B26CAB" w:rsidRDefault="00B26CAB"/>
    <w:p w:rsidR="001D7880" w:rsidRDefault="00843B7B">
      <w:r>
        <w:t xml:space="preserve">As niche marketing opportunities increase for meat products, </w:t>
      </w:r>
      <w:r w:rsidR="001D7880">
        <w:t xml:space="preserve">livestock producers will </w:t>
      </w:r>
      <w:r>
        <w:t>base their decision on where and how to sell their animals</w:t>
      </w:r>
      <w:r w:rsidR="001A5C33">
        <w:t xml:space="preserve"> on many factors, some of which include price, marketing costs, access to processing, and market familiarity.  Even though niche markets may offer higher prices than traditional markets, some producers will stay with traditional markets because they are satisfied with the price, familiar with the market, and see too much risk in niche markets for their operation.  Other producers will venture into niche markets to sell all their animals or by dedicating a fraction of their crop </w:t>
      </w:r>
      <w:r w:rsidR="004F1AD4">
        <w:t xml:space="preserve">to </w:t>
      </w:r>
      <w:r w:rsidR="001A5C33">
        <w:t xml:space="preserve">niche markets and the rest to traditional markets.  </w:t>
      </w:r>
      <w:r w:rsidR="004F1AD4">
        <w:t xml:space="preserve">This latter group of producers most likely characterizes the 56% of respondents who indicated an interest in using </w:t>
      </w:r>
      <w:r w:rsidR="00483471">
        <w:t>sma</w:t>
      </w:r>
      <w:r w:rsidR="004F1AD4">
        <w:t>ll-scale processing facilities.  The proportion of producers willing to enter niche markets may increase if availability and access to processing services increase and if additional marketing channels are opened and become more familiar to producers.</w:t>
      </w:r>
    </w:p>
    <w:p w:rsidR="004F1AD4" w:rsidRDefault="004F1AD4"/>
    <w:p w:rsidR="00496F83" w:rsidRDefault="005E16CC">
      <w:r>
        <w:lastRenderedPageBreak/>
        <w:t>Respondents who identified</w:t>
      </w:r>
      <w:r w:rsidR="00BF15C8">
        <w:t xml:space="preserve"> themselves as being interested</w:t>
      </w:r>
      <w:r>
        <w:t xml:space="preserve"> in using smal</w:t>
      </w:r>
      <w:r w:rsidR="00503947">
        <w:t xml:space="preserve">l-scale </w:t>
      </w:r>
      <w:r>
        <w:t xml:space="preserve">processing facilities were asked to answer several questions on their criteria for using such facilities and how many animals they would </w:t>
      </w:r>
      <w:r w:rsidR="00182464">
        <w:t xml:space="preserve">like to </w:t>
      </w:r>
      <w:r>
        <w:t>have processed.  Some of the results from these questions</w:t>
      </w:r>
      <w:r w:rsidR="00B42A53">
        <w:t xml:space="preserve"> are summarized in Figures 6,</w:t>
      </w:r>
      <w:r>
        <w:t xml:space="preserve"> 7 </w:t>
      </w:r>
      <w:r w:rsidR="00B42A53">
        <w:t xml:space="preserve">and 8, </w:t>
      </w:r>
      <w:r>
        <w:t>and Table 1.</w:t>
      </w:r>
      <w:r w:rsidR="00CA2DB3">
        <w:t xml:space="preserve">  </w:t>
      </w:r>
      <w:r w:rsidR="002B4FB2">
        <w:t>Travel time from the producer’s location to the processing facility and then to the final market and the producer’s willingness to travel that distance is a</w:t>
      </w:r>
      <w:r w:rsidR="006C5064">
        <w:t>n</w:t>
      </w:r>
      <w:r w:rsidR="002B4FB2">
        <w:t xml:space="preserve"> important factor for the producer in deciding to enter niche markets.  </w:t>
      </w:r>
      <w:r w:rsidR="006C5064">
        <w:t xml:space="preserve">Producers identified strong preferences to sell meat products in their local and adjacent counties, followed by the Bay Area and </w:t>
      </w:r>
      <w:r w:rsidR="00182464">
        <w:t xml:space="preserve">the </w:t>
      </w:r>
      <w:r w:rsidR="006C5064">
        <w:t>Sacramento region (Figure 6).  Internet sales and sales to Southern California ranked the lowest.  This information on targeted markets combined with the maximum distance producers are willing to travel, one-way, to processing facilities will be useful in determining ideal locations for establishing processing facilities.  Figure 7 quantifies the willingness of producers to travel the one-way distance to have their livestock processed and the proportion of producers captured at each maximum distance.</w:t>
      </w:r>
      <w:r w:rsidR="000B2D65">
        <w:t xml:space="preserve">  A critical point</w:t>
      </w:r>
      <w:r w:rsidR="006C5064">
        <w:t xml:space="preserve"> appears to occur at maximum travel times of 60 and 90 minutes.  </w:t>
      </w:r>
      <w:r w:rsidR="000B2D65">
        <w:t>Approximately 90% of respondents are willing to travel 60 minutes, but that percentage drops to 55% at a maximum travel time of 90 minutes</w:t>
      </w:r>
      <w:r w:rsidR="00CB1622">
        <w:t xml:space="preserve"> and only 28% are willing to travel 120 minutes</w:t>
      </w:r>
      <w:r w:rsidR="000B2D65">
        <w:t xml:space="preserve">.  These results suggest that new processing facilities must be located at distances between 60 and 90 minutes from core areas of </w:t>
      </w:r>
      <w:r w:rsidR="00320134">
        <w:t xml:space="preserve">livestock production.  An ideal location will also minimize the distance from the processing facility to important markets for </w:t>
      </w:r>
      <w:r w:rsidR="00496F83">
        <w:t>its</w:t>
      </w:r>
      <w:r w:rsidR="00320134">
        <w:t xml:space="preserve"> producer clients.</w:t>
      </w:r>
      <w:r w:rsidR="00496F83">
        <w:t xml:space="preserve">  </w:t>
      </w:r>
      <w:r w:rsidR="00320134">
        <w:t>Our project team will pursue a more in-depth analysis of the survey data to determine preferable locations for future small-scale processing facilities, on a county or multi-county basis</w:t>
      </w:r>
      <w:r w:rsidR="00496F83">
        <w:t>.</w:t>
      </w:r>
    </w:p>
    <w:p w:rsidR="00496F83" w:rsidRDefault="00496F83"/>
    <w:p w:rsidR="008E70EC" w:rsidRDefault="0017736E">
      <w:r>
        <w:t>Proper market characterization is a</w:t>
      </w:r>
      <w:r w:rsidR="00496F83">
        <w:t xml:space="preserve">nother important factor that is necessary to consider when planning the establishment of future processing facilities.  In the case of small-scale processing facilities, the market is comprised of livestock producers and perhaps meat wholesalers who purchase locally-raised animals that fit their niche markets.  A </w:t>
      </w:r>
      <w:r>
        <w:t xml:space="preserve">market </w:t>
      </w:r>
      <w:r w:rsidR="00496F83">
        <w:t xml:space="preserve">characterization should </w:t>
      </w:r>
      <w:r>
        <w:t>reveal</w:t>
      </w:r>
      <w:r w:rsidR="00496F83">
        <w:t xml:space="preserve"> the potential class and number of animals that will be available by producers for processing on a seasonal and annual basis.  </w:t>
      </w:r>
      <w:r>
        <w:t xml:space="preserve">Table 1 shows the number of steers/heifers, lambs, goats and hogs respondents indicated that they would like to market each month, assuming that processing facilities were readily available and accessible.  The data in Table 1 is graphically represented in Figure 8, which </w:t>
      </w:r>
      <w:r w:rsidR="00647E28">
        <w:t>shows a spike in the number of stee</w:t>
      </w:r>
      <w:r w:rsidR="008E70EC">
        <w:t>rs and heifers in May and June followed by a more modest increase in November and December.  These peaks correspond to a 14 month period of time following spring and fall calving schedules, which is approximately the amount of time required to raise a beef steer or heifer to a marketable weight.  A proces</w:t>
      </w:r>
      <w:r w:rsidR="00CB1622">
        <w:t>sing facility manager may have</w:t>
      </w:r>
      <w:r w:rsidR="008E70EC">
        <w:t xml:space="preserve"> difficult</w:t>
      </w:r>
      <w:r w:rsidR="00CB1622">
        <w:t>y in</w:t>
      </w:r>
      <w:r w:rsidR="008E70EC">
        <w:t xml:space="preserve"> accommodating such dramatic fluctuations </w:t>
      </w:r>
      <w:r w:rsidR="00867F2B">
        <w:t>with a static number of employees throughout the year, which may be a good incentive for producers to try extending the period of time when they finish and market their animals.</w:t>
      </w:r>
    </w:p>
    <w:p w:rsidR="00867F2B" w:rsidRDefault="00867F2B"/>
    <w:p w:rsidR="00867F2B" w:rsidRPr="009B58B2" w:rsidRDefault="009B58B2">
      <w:pPr>
        <w:rPr>
          <w:b/>
        </w:rPr>
      </w:pPr>
      <w:r w:rsidRPr="009B58B2">
        <w:rPr>
          <w:b/>
        </w:rPr>
        <w:t>V.  Evaluation/Lessons Learned</w:t>
      </w:r>
    </w:p>
    <w:p w:rsidR="009B58B2" w:rsidRDefault="009B58B2"/>
    <w:p w:rsidR="008E70EC" w:rsidRDefault="009B58B2">
      <w:r>
        <w:t xml:space="preserve">Throughout the execution of the project, our team </w:t>
      </w:r>
      <w:r w:rsidR="00CB1622">
        <w:t>has continuously evaluated</w:t>
      </w:r>
      <w:r>
        <w:t xml:space="preserve"> the project’s success in </w:t>
      </w:r>
      <w:r w:rsidR="00CB1622">
        <w:t xml:space="preserve">efficiently </w:t>
      </w:r>
      <w:r>
        <w:t xml:space="preserve">attaining a 10% return rate and in obtaining good quality data.  Evaluation started by testing the survey on </w:t>
      </w:r>
      <w:r w:rsidR="00CB1622">
        <w:t xml:space="preserve">a </w:t>
      </w:r>
      <w:r>
        <w:t xml:space="preserve">small number of livestock producers throughout the state and incorporating their feedback on the final survey.  </w:t>
      </w:r>
      <w:r w:rsidR="00F72511">
        <w:t xml:space="preserve">Consultations were also conducted with a programmer in the Department of Agricultural and Resource Economics at UC Davis, who has expertise in conducting surveys, to ensure that the survey is structured correctly for statistical </w:t>
      </w:r>
      <w:r w:rsidR="00F72511">
        <w:lastRenderedPageBreak/>
        <w:t xml:space="preserve">analysis.  The importance of this step cannot be overstated, as there were many pivotal corrections and changes in our process that resulted from this consultation.  </w:t>
      </w:r>
      <w:r w:rsidR="00793C44">
        <w:t xml:space="preserve">Another adjustment was made as a result of a suggestion from UC SAREP that we expand our initial scope to include all Northern California counties.  We were able to expand the project through saving in salary and benefits paid to our intern.  </w:t>
      </w:r>
      <w:r w:rsidR="00F72511">
        <w:t xml:space="preserve">Much of the success in </w:t>
      </w:r>
      <w:r w:rsidR="00C71322">
        <w:t xml:space="preserve">sorting and organizing addressees, </w:t>
      </w:r>
      <w:r w:rsidR="00F72511">
        <w:t>sending the survey</w:t>
      </w:r>
      <w:r w:rsidR="00C71322">
        <w:t>s</w:t>
      </w:r>
      <w:r w:rsidR="00F72511">
        <w:t xml:space="preserve">, </w:t>
      </w:r>
      <w:r w:rsidR="00C71322">
        <w:t xml:space="preserve">cataloging completed and returned surveys and scoring the completed surveys is due to the tremendous effort made by Sarah DeVandry, who spent the summer of 2006 interning with Cooperative Extension to work on this project.  The time she spent organizing databases at the front end of the project has been a </w:t>
      </w:r>
      <w:r w:rsidR="00CB1622">
        <w:t>valuable</w:t>
      </w:r>
      <w:r w:rsidR="00C71322">
        <w:t xml:space="preserve"> investment throughout the remainder of the project.</w:t>
      </w:r>
    </w:p>
    <w:p w:rsidR="00C71322" w:rsidRDefault="00C71322"/>
    <w:p w:rsidR="00C71322" w:rsidRDefault="00A72B41">
      <w:r>
        <w:t xml:space="preserve">Although many respondents were able to correctly complete all survey questions, we did notice that many had difficulties responding to several of the more complex </w:t>
      </w:r>
      <w:r w:rsidR="00281BE6">
        <w:t>questions, and some answered simple questions incorrectly.  We have learned that despite precise instructions, it is best to ask respondents to rate rather than rank choices to a question.  When asked to rank, many respondents would answer by rating the choices with a number or a checkmark.  We did have very good responses to rating questions in which we asked respondents to fill in a box indicating their answer.</w:t>
      </w:r>
    </w:p>
    <w:p w:rsidR="00281BE6" w:rsidRDefault="00281BE6"/>
    <w:p w:rsidR="00281BE6" w:rsidRDefault="00BD34B3">
      <w:r>
        <w:t>One project outcome that will extend the impact of this project is the successful funding of an economic development grant obtained by several investigators on this project.  The new grant will fund a project to determine the feasibility of a ~20,000 head/year processing facility in Mendocino or northern Sonoma County.  The project will include livestock producer meetings in all counties within a two-hour driving distance of southern Mendocino County to determine more precise information on animal supply and economic</w:t>
      </w:r>
      <w:r w:rsidR="007E02F7">
        <w:t xml:space="preserve"> considerations.  </w:t>
      </w:r>
      <w:r w:rsidR="00DA5BE2">
        <w:t xml:space="preserve">More interviews will be conducted to readdress some of the issues that respondents </w:t>
      </w:r>
      <w:r w:rsidR="007E02F7">
        <w:t xml:space="preserve">had difficulty </w:t>
      </w:r>
      <w:r w:rsidR="00CB1622">
        <w:t>answering</w:t>
      </w:r>
      <w:r w:rsidR="007E02F7">
        <w:t xml:space="preserve"> on our survey.</w:t>
      </w:r>
    </w:p>
    <w:p w:rsidR="008E70EC" w:rsidRDefault="008E70EC"/>
    <w:p w:rsidR="008E70EC" w:rsidRPr="007E02F7" w:rsidRDefault="007E02F7">
      <w:pPr>
        <w:rPr>
          <w:b/>
        </w:rPr>
      </w:pPr>
      <w:r w:rsidRPr="007E02F7">
        <w:rPr>
          <w:b/>
        </w:rPr>
        <w:t>VI.  Outreach/Education/Dissemination of Findings</w:t>
      </w:r>
    </w:p>
    <w:p w:rsidR="00B323C8" w:rsidRDefault="00B323C8"/>
    <w:p w:rsidR="007E02F7" w:rsidRDefault="00E27D2D">
      <w:r>
        <w:t xml:space="preserve">Preliminary findings from the survey have been presented at </w:t>
      </w:r>
      <w:r w:rsidR="00DA4DC5">
        <w:t>various producer meetings including the annual Niche Meat Marketing Conference held in March 2007 with about 60 participants and at county Cattlemen’s Association meetings.  Data summaries have also been provided to people in various counties working on economic development projects with a particular interest in establishing processing facilities that will serve their local agriculture</w:t>
      </w:r>
      <w:r w:rsidR="00CB1622">
        <w:t xml:space="preserve"> industry</w:t>
      </w:r>
      <w:r w:rsidR="00DA4DC5">
        <w:t>.  Upon completion of the data analysis, our project team intends to publish the survey results in California Agriculture and in UCCE Livestock Advisor newsletters.  These articles will be linked from UCCE county web-sites.  We will also continue presenting project findings at appropriate meetings and conferences throughout Northern California.</w:t>
      </w:r>
    </w:p>
    <w:p w:rsidR="00496F83" w:rsidRDefault="00647E28">
      <w:r>
        <w:t xml:space="preserve"> </w:t>
      </w:r>
    </w:p>
    <w:p w:rsidR="000B7B10" w:rsidRPr="000B7B10" w:rsidRDefault="000B7B10">
      <w:pPr>
        <w:rPr>
          <w:b/>
        </w:rPr>
      </w:pPr>
      <w:r w:rsidRPr="000B7B10">
        <w:rPr>
          <w:b/>
        </w:rPr>
        <w:t>VII.  Literature Cited</w:t>
      </w:r>
    </w:p>
    <w:p w:rsidR="00B323C8" w:rsidRDefault="00B323C8" w:rsidP="000B7B10">
      <w:pPr>
        <w:ind w:left="432" w:hanging="432"/>
      </w:pPr>
    </w:p>
    <w:p w:rsidR="000B7B10" w:rsidRDefault="000B7B10" w:rsidP="000B7B10">
      <w:pPr>
        <w:ind w:left="432" w:hanging="432"/>
      </w:pPr>
      <w:r>
        <w:t>Azzam, A. and J.R. Schroeter. 1997. Concentration in beef packing: Do gains outweigh losses? Choices (1</w:t>
      </w:r>
      <w:r w:rsidRPr="00FB531F">
        <w:rPr>
          <w:vertAlign w:val="superscript"/>
        </w:rPr>
        <w:t>st</w:t>
      </w:r>
      <w:r>
        <w:t xml:space="preserve"> quarter): 26-28.</w:t>
      </w:r>
    </w:p>
    <w:p w:rsidR="00D639FD" w:rsidRDefault="00D639FD"/>
    <w:p w:rsidR="00D639FD" w:rsidRDefault="00D639FD" w:rsidP="00D639FD">
      <w:pPr>
        <w:ind w:left="432" w:hanging="432"/>
        <w:sectPr w:rsidR="00D639FD" w:rsidSect="008B6790">
          <w:footerReference w:type="default" r:id="rId8"/>
          <w:pgSz w:w="12240" w:h="15840"/>
          <w:pgMar w:top="1440" w:right="1440" w:bottom="1440" w:left="1440" w:header="720" w:footer="720" w:gutter="0"/>
          <w:cols w:space="720"/>
          <w:docGrid w:linePitch="360"/>
        </w:sectPr>
      </w:pPr>
      <w:r>
        <w:lastRenderedPageBreak/>
        <w:t>US Department of Agri</w:t>
      </w:r>
      <w:r w:rsidR="00E27E18">
        <w:t>culture. ONLINE. 2002.  Census o</w:t>
      </w:r>
      <w:r>
        <w:t xml:space="preserve">f Agriculture-State Data, California.  USDA.  Available:  </w:t>
      </w:r>
      <w:r w:rsidRPr="00D639FD">
        <w:t>http://www.nass.usda.gov/census/census02/volume1/ca/index1.htm</w:t>
      </w:r>
    </w:p>
    <w:p w:rsidR="00273F57" w:rsidRDefault="00056D71">
      <w:r>
        <w:lastRenderedPageBreak/>
        <w:t>Figure 1.  Number and percentage of returned surveys by county.</w:t>
      </w:r>
    </w:p>
    <w:p w:rsidR="009C12C9" w:rsidRDefault="009C12C9"/>
    <w:p w:rsidR="009C12C9" w:rsidRDefault="00CB1622">
      <w:r w:rsidRPr="00CB1622">
        <w:rPr>
          <w:noProof/>
        </w:rPr>
        <w:drawing>
          <wp:inline distT="0" distB="0" distL="0" distR="0">
            <wp:extent cx="8220075" cy="473392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9C12C9">
        <w:br w:type="page"/>
      </w:r>
    </w:p>
    <w:p w:rsidR="009C12C9" w:rsidRDefault="009C12C9">
      <w:pPr>
        <w:sectPr w:rsidR="009C12C9" w:rsidSect="009C12C9">
          <w:pgSz w:w="15840" w:h="12240" w:orient="landscape"/>
          <w:pgMar w:top="1440" w:right="1440" w:bottom="1440" w:left="1440" w:header="720" w:footer="720" w:gutter="0"/>
          <w:cols w:space="720"/>
          <w:docGrid w:linePitch="360"/>
        </w:sectPr>
      </w:pPr>
    </w:p>
    <w:p w:rsidR="00056D71" w:rsidRDefault="009C12C9">
      <w:r>
        <w:lastRenderedPageBreak/>
        <w:t xml:space="preserve">Figure 2.  </w:t>
      </w:r>
      <w:r w:rsidR="001D2980">
        <w:t>Farm size of respondents based on number of animals.</w:t>
      </w:r>
    </w:p>
    <w:p w:rsidR="009C12C9" w:rsidRDefault="009C12C9">
      <w:r w:rsidRPr="009C12C9">
        <w:rPr>
          <w:noProof/>
        </w:rPr>
        <w:drawing>
          <wp:inline distT="0" distB="0" distL="0" distR="0">
            <wp:extent cx="4572000" cy="2743200"/>
            <wp:effectExtent l="0" t="0" r="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D2980" w:rsidRDefault="001D2980"/>
    <w:p w:rsidR="001D2980" w:rsidRDefault="001D2980"/>
    <w:p w:rsidR="001D2980" w:rsidRDefault="001D2980"/>
    <w:p w:rsidR="001D2980" w:rsidRDefault="001D2980"/>
    <w:p w:rsidR="001D2980" w:rsidRDefault="001D2980">
      <w:r>
        <w:t>Figure 3.  Satisfaction rating on quality of service from existing processing facilities.</w:t>
      </w:r>
    </w:p>
    <w:p w:rsidR="001D2980" w:rsidRDefault="001D2980">
      <w:r w:rsidRPr="001D2980">
        <w:rPr>
          <w:noProof/>
        </w:rPr>
        <w:drawing>
          <wp:inline distT="0" distB="0" distL="0" distR="0">
            <wp:extent cx="4572000" cy="2743200"/>
            <wp:effectExtent l="0" t="0" r="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D2980" w:rsidRDefault="001D2980"/>
    <w:p w:rsidR="001D2980" w:rsidRDefault="001D2980"/>
    <w:p w:rsidR="001D2980" w:rsidRDefault="001D2980">
      <w:r>
        <w:br w:type="page"/>
      </w:r>
    </w:p>
    <w:p w:rsidR="001D2980" w:rsidRDefault="001D2980">
      <w:r>
        <w:lastRenderedPageBreak/>
        <w:t>Figure 4.  Satisfaction rating on timeliness of service from existing processing facilities.</w:t>
      </w:r>
    </w:p>
    <w:p w:rsidR="001D2980" w:rsidRDefault="001D2980">
      <w:r w:rsidRPr="001D2980">
        <w:rPr>
          <w:noProof/>
        </w:rPr>
        <w:drawing>
          <wp:inline distT="0" distB="0" distL="0" distR="0">
            <wp:extent cx="4572000" cy="2743200"/>
            <wp:effectExtent l="0" t="0" r="0" b="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D2980" w:rsidRDefault="001D2980"/>
    <w:p w:rsidR="001D2980" w:rsidRDefault="001D2980"/>
    <w:p w:rsidR="001D2980" w:rsidRDefault="001D2980"/>
    <w:p w:rsidR="001D2980" w:rsidRDefault="001D2980">
      <w:r>
        <w:t>Figure 5.  Current availability and accessibility of processing facilities.</w:t>
      </w:r>
    </w:p>
    <w:p w:rsidR="001D2980" w:rsidRDefault="001D2980">
      <w:r w:rsidRPr="001D2980">
        <w:rPr>
          <w:noProof/>
        </w:rPr>
        <w:drawing>
          <wp:inline distT="0" distB="0" distL="0" distR="0">
            <wp:extent cx="4572000" cy="2743200"/>
            <wp:effectExtent l="0" t="0" r="0" b="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D2980" w:rsidRDefault="001D2980"/>
    <w:p w:rsidR="001D2980" w:rsidRDefault="001D2980"/>
    <w:p w:rsidR="001D2980" w:rsidRDefault="001D2980"/>
    <w:p w:rsidR="001D2980" w:rsidRDefault="001D2980">
      <w:r>
        <w:br w:type="page"/>
      </w:r>
    </w:p>
    <w:p w:rsidR="001D2980" w:rsidRDefault="001D2980">
      <w:r>
        <w:lastRenderedPageBreak/>
        <w:t>Figure 6.  Ranking of target markets (1=lowest priority, 5=highest priority).</w:t>
      </w:r>
    </w:p>
    <w:p w:rsidR="001D2980" w:rsidRDefault="001D2980">
      <w:r w:rsidRPr="001D2980">
        <w:rPr>
          <w:noProof/>
        </w:rPr>
        <w:drawing>
          <wp:inline distT="0" distB="0" distL="0" distR="0">
            <wp:extent cx="4572000" cy="2743200"/>
            <wp:effectExtent l="0" t="0" r="0" b="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D2980" w:rsidRDefault="001D2980"/>
    <w:p w:rsidR="001D2980" w:rsidRDefault="001D2980"/>
    <w:p w:rsidR="001D2980" w:rsidRDefault="001D2980"/>
    <w:p w:rsidR="001D2980" w:rsidRDefault="001D2980">
      <w:r>
        <w:t>Figure 7.  Maximum time respondents are willing to travel for processing</w:t>
      </w:r>
      <w:r w:rsidR="004E5A6F">
        <w:t xml:space="preserve"> services</w:t>
      </w:r>
      <w:r>
        <w:t>.</w:t>
      </w:r>
      <w:r w:rsidR="004E5A6F">
        <w:t xml:space="preserve">  Percentages represent the </w:t>
      </w:r>
      <w:r w:rsidR="00374A64">
        <w:t>proportion of producers captured</w:t>
      </w:r>
      <w:r w:rsidR="004E5A6F">
        <w:t xml:space="preserve"> at each time increment.</w:t>
      </w:r>
    </w:p>
    <w:p w:rsidR="004E5A6F" w:rsidRDefault="00C33512">
      <w:r>
        <w:rPr>
          <w:noProof/>
          <w:lang w:eastAsia="zh-TW"/>
        </w:rPr>
        <w:pict>
          <v:shapetype id="_x0000_t202" coordsize="21600,21600" o:spt="202" path="m,l,21600r21600,l21600,xe">
            <v:stroke joinstyle="miter"/>
            <v:path gradientshapeok="t" o:connecttype="rect"/>
          </v:shapetype>
          <v:shape id="_x0000_s1032" type="#_x0000_t202" style="position:absolute;margin-left:314.45pt;margin-top:135.85pt;width:28.15pt;height:16.4pt;z-index:251672576;mso-height-percent:200;mso-height-percent:200;mso-width-relative:margin;mso-height-relative:margin" filled="f" stroked="f">
            <v:textbox style="mso-fit-shape-to-text:t">
              <w:txbxContent>
                <w:p w:rsidR="004E5A6F" w:rsidRPr="004E5A6F" w:rsidRDefault="004E5A6F">
                  <w:pPr>
                    <w:rPr>
                      <w:sz w:val="16"/>
                      <w:szCs w:val="16"/>
                    </w:rPr>
                  </w:pPr>
                  <w:r w:rsidRPr="004E5A6F">
                    <w:rPr>
                      <w:sz w:val="16"/>
                      <w:szCs w:val="16"/>
                    </w:rPr>
                    <w:t>4%</w:t>
                  </w:r>
                </w:p>
              </w:txbxContent>
            </v:textbox>
          </v:shape>
        </w:pict>
      </w:r>
      <w:r>
        <w:rPr>
          <w:noProof/>
          <w:lang w:eastAsia="zh-TW"/>
        </w:rPr>
        <w:pict>
          <v:shape id="_x0000_s1031" type="#_x0000_t202" style="position:absolute;margin-left:270.3pt;margin-top:119.45pt;width:36.95pt;height:16.4pt;z-index:251670528;mso-height-percent:200;mso-height-percent:200;mso-width-relative:margin;mso-height-relative:margin" filled="f" stroked="f">
            <v:textbox style="mso-fit-shape-to-text:t">
              <w:txbxContent>
                <w:p w:rsidR="004E5A6F" w:rsidRPr="004E5A6F" w:rsidRDefault="004E5A6F">
                  <w:pPr>
                    <w:rPr>
                      <w:sz w:val="16"/>
                      <w:szCs w:val="16"/>
                    </w:rPr>
                  </w:pPr>
                  <w:r w:rsidRPr="004E5A6F">
                    <w:rPr>
                      <w:sz w:val="16"/>
                      <w:szCs w:val="16"/>
                    </w:rPr>
                    <w:t>12%</w:t>
                  </w:r>
                </w:p>
              </w:txbxContent>
            </v:textbox>
          </v:shape>
        </w:pict>
      </w:r>
      <w:r>
        <w:rPr>
          <w:noProof/>
          <w:lang w:eastAsia="zh-TW"/>
        </w:rPr>
        <w:pict>
          <v:shape id="_x0000_s1030" type="#_x0000_t202" style="position:absolute;margin-left:230.15pt;margin-top:90.85pt;width:34.35pt;height:16.4pt;z-index:251668480;mso-height-percent:200;mso-height-percent:200;mso-width-relative:margin;mso-height-relative:margin" filled="f" stroked="f">
            <v:textbox style="mso-fit-shape-to-text:t">
              <w:txbxContent>
                <w:p w:rsidR="00AF1D86" w:rsidRPr="004E5A6F" w:rsidRDefault="004E5A6F">
                  <w:pPr>
                    <w:rPr>
                      <w:sz w:val="16"/>
                      <w:szCs w:val="16"/>
                    </w:rPr>
                  </w:pPr>
                  <w:r w:rsidRPr="004E5A6F">
                    <w:rPr>
                      <w:sz w:val="16"/>
                      <w:szCs w:val="16"/>
                    </w:rPr>
                    <w:t>28%</w:t>
                  </w:r>
                </w:p>
              </w:txbxContent>
            </v:textbox>
          </v:shape>
        </w:pict>
      </w:r>
      <w:r>
        <w:rPr>
          <w:noProof/>
          <w:lang w:eastAsia="zh-TW"/>
        </w:rPr>
        <w:pict>
          <v:shape id="_x0000_s1029" type="#_x0000_t202" style="position:absolute;margin-left:188.4pt;margin-top:48.85pt;width:41.75pt;height:16.4pt;z-index:251666432;mso-height-percent:200;mso-height-percent:200;mso-width-relative:margin;mso-height-relative:margin" filled="f" stroked="f">
            <v:textbox style="mso-fit-shape-to-text:t">
              <w:txbxContent>
                <w:p w:rsidR="00AF1D86" w:rsidRPr="00AF1D86" w:rsidRDefault="00AF1D86">
                  <w:pPr>
                    <w:rPr>
                      <w:sz w:val="16"/>
                      <w:szCs w:val="16"/>
                    </w:rPr>
                  </w:pPr>
                  <w:r w:rsidRPr="00AF1D86">
                    <w:rPr>
                      <w:sz w:val="16"/>
                      <w:szCs w:val="16"/>
                    </w:rPr>
                    <w:t>55%</w:t>
                  </w:r>
                </w:p>
              </w:txbxContent>
            </v:textbox>
          </v:shape>
        </w:pict>
      </w:r>
      <w:r>
        <w:rPr>
          <w:noProof/>
          <w:lang w:eastAsia="zh-TW"/>
        </w:rPr>
        <w:pict>
          <v:shape id="_x0000_s1028" type="#_x0000_t202" style="position:absolute;margin-left:143.6pt;margin-top:24.75pt;width:35.4pt;height:16.4pt;z-index:251664384;mso-height-percent:200;mso-height-percent:200;mso-width-relative:margin;mso-height-relative:margin" filled="f" stroked="f">
            <v:textbox style="mso-fit-shape-to-text:t">
              <w:txbxContent>
                <w:p w:rsidR="00AF1D86" w:rsidRPr="00AF1D86" w:rsidRDefault="00AF1D86">
                  <w:pPr>
                    <w:rPr>
                      <w:sz w:val="16"/>
                      <w:szCs w:val="16"/>
                    </w:rPr>
                  </w:pPr>
                  <w:r>
                    <w:rPr>
                      <w:sz w:val="16"/>
                      <w:szCs w:val="16"/>
                    </w:rPr>
                    <w:t xml:space="preserve"> </w:t>
                  </w:r>
                  <w:r w:rsidRPr="00AF1D86">
                    <w:rPr>
                      <w:sz w:val="16"/>
                      <w:szCs w:val="16"/>
                    </w:rPr>
                    <w:t>89%</w:t>
                  </w:r>
                </w:p>
              </w:txbxContent>
            </v:textbox>
          </v:shape>
        </w:pict>
      </w:r>
      <w:r>
        <w:rPr>
          <w:noProof/>
          <w:lang w:eastAsia="zh-TW"/>
        </w:rPr>
        <w:pict>
          <v:shape id="_x0000_s1027" type="#_x0000_t202" style="position:absolute;margin-left:101.8pt;margin-top:113.35pt;width:36.55pt;height:16.4pt;z-index:251662336;mso-height-percent:200;mso-height-percent:200;mso-width-relative:margin;mso-height-relative:margin" filled="f" stroked="f">
            <v:textbox style="mso-fit-shape-to-text:t">
              <w:txbxContent>
                <w:p w:rsidR="00AF1D86" w:rsidRPr="00AF1D86" w:rsidRDefault="00AF1D86">
                  <w:pPr>
                    <w:rPr>
                      <w:sz w:val="16"/>
                      <w:szCs w:val="16"/>
                    </w:rPr>
                  </w:pPr>
                  <w:r>
                    <w:rPr>
                      <w:sz w:val="16"/>
                      <w:szCs w:val="16"/>
                    </w:rPr>
                    <w:t xml:space="preserve">  </w:t>
                  </w:r>
                  <w:r w:rsidRPr="00AF1D86">
                    <w:rPr>
                      <w:sz w:val="16"/>
                      <w:szCs w:val="16"/>
                    </w:rPr>
                    <w:t>98%</w:t>
                  </w:r>
                </w:p>
              </w:txbxContent>
            </v:textbox>
          </v:shape>
        </w:pict>
      </w:r>
      <w:r>
        <w:rPr>
          <w:noProof/>
          <w:lang w:eastAsia="zh-TW"/>
        </w:rPr>
        <w:pict>
          <v:shape id="_x0000_s1026" type="#_x0000_t202" style="position:absolute;margin-left:61pt;margin-top:135.85pt;width:37pt;height:17.15pt;z-index:251660288;mso-height-percent:200;mso-height-percent:200;mso-width-relative:margin;mso-height-relative:margin" filled="f" stroked="f">
            <v:textbox style="mso-fit-shape-to-text:t">
              <w:txbxContent>
                <w:p w:rsidR="00AF1D86" w:rsidRPr="00AF1D86" w:rsidRDefault="00AF1D86">
                  <w:pPr>
                    <w:rPr>
                      <w:sz w:val="16"/>
                      <w:szCs w:val="16"/>
                    </w:rPr>
                  </w:pPr>
                  <w:r w:rsidRPr="00AF1D86">
                    <w:rPr>
                      <w:sz w:val="16"/>
                      <w:szCs w:val="16"/>
                    </w:rPr>
                    <w:t>100%</w:t>
                  </w:r>
                </w:p>
              </w:txbxContent>
            </v:textbox>
          </v:shape>
        </w:pict>
      </w:r>
      <w:r w:rsidR="001D2980" w:rsidRPr="001D2980">
        <w:rPr>
          <w:noProof/>
        </w:rPr>
        <w:drawing>
          <wp:inline distT="0" distB="0" distL="0" distR="0">
            <wp:extent cx="4572000" cy="2743200"/>
            <wp:effectExtent l="0" t="0" r="0" b="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A2DB3" w:rsidRDefault="00CA2DB3"/>
    <w:p w:rsidR="00CA2DB3" w:rsidRDefault="00CA2DB3">
      <w:r>
        <w:br w:type="page"/>
      </w:r>
    </w:p>
    <w:p w:rsidR="00CA2DB3" w:rsidRDefault="00CA2DB3">
      <w:pPr>
        <w:sectPr w:rsidR="00CA2DB3" w:rsidSect="009C12C9">
          <w:pgSz w:w="12240" w:h="15840"/>
          <w:pgMar w:top="1440" w:right="1440" w:bottom="1440" w:left="1440" w:header="720" w:footer="720" w:gutter="0"/>
          <w:cols w:space="720"/>
          <w:docGrid w:linePitch="360"/>
        </w:sectPr>
      </w:pPr>
    </w:p>
    <w:p w:rsidR="001D2980" w:rsidRDefault="00374A64">
      <w:r>
        <w:lastRenderedPageBreak/>
        <w:t>Table 1.  Total n</w:t>
      </w:r>
      <w:r w:rsidR="009404B6">
        <w:t xml:space="preserve">umber of animals </w:t>
      </w:r>
      <w:r w:rsidR="00E27E18">
        <w:t xml:space="preserve">that </w:t>
      </w:r>
      <w:r w:rsidR="009404B6">
        <w:t xml:space="preserve">respondents would like to </w:t>
      </w:r>
      <w:r w:rsidR="00B42A53">
        <w:t xml:space="preserve">have </w:t>
      </w:r>
      <w:r w:rsidR="009404B6">
        <w:t>process</w:t>
      </w:r>
      <w:r w:rsidR="00B42A53">
        <w:t>ed in small-scale facilities</w:t>
      </w:r>
      <w:r w:rsidR="009404B6">
        <w:t xml:space="preserve"> each month of the year.</w:t>
      </w:r>
    </w:p>
    <w:p w:rsidR="00CA2DB3" w:rsidRDefault="00CA2DB3"/>
    <w:tbl>
      <w:tblPr>
        <w:tblW w:w="0" w:type="auto"/>
        <w:tblInd w:w="108" w:type="dxa"/>
        <w:tblLook w:val="04A0"/>
      </w:tblPr>
      <w:tblGrid>
        <w:gridCol w:w="1717"/>
        <w:gridCol w:w="561"/>
        <w:gridCol w:w="572"/>
        <w:gridCol w:w="572"/>
        <w:gridCol w:w="561"/>
        <w:gridCol w:w="717"/>
        <w:gridCol w:w="717"/>
        <w:gridCol w:w="717"/>
        <w:gridCol w:w="605"/>
        <w:gridCol w:w="717"/>
        <w:gridCol w:w="717"/>
        <w:gridCol w:w="717"/>
        <w:gridCol w:w="717"/>
        <w:gridCol w:w="828"/>
      </w:tblGrid>
      <w:tr w:rsidR="006F2B2F" w:rsidRPr="006F2B2F" w:rsidTr="006F2B2F">
        <w:trPr>
          <w:trHeight w:val="255"/>
        </w:trPr>
        <w:tc>
          <w:tcPr>
            <w:tcW w:w="0" w:type="auto"/>
            <w:tcBorders>
              <w:top w:val="single" w:sz="4" w:space="0" w:color="000000"/>
              <w:left w:val="nil"/>
              <w:bottom w:val="single" w:sz="4" w:space="0" w:color="000000"/>
              <w:right w:val="nil"/>
            </w:tcBorders>
            <w:shd w:val="clear" w:color="auto" w:fill="auto"/>
            <w:noWrap/>
            <w:vAlign w:val="bottom"/>
            <w:hideMark/>
          </w:tcPr>
          <w:p w:rsidR="006F2B2F" w:rsidRPr="006F2B2F" w:rsidRDefault="006F2B2F" w:rsidP="006F2B2F">
            <w:pPr>
              <w:rPr>
                <w:rFonts w:ascii="Arial" w:hAnsi="Arial" w:cs="Arial"/>
                <w:b/>
                <w:bCs/>
                <w:color w:val="000000"/>
                <w:sz w:val="20"/>
                <w:szCs w:val="20"/>
              </w:rPr>
            </w:pPr>
            <w:r w:rsidRPr="006F2B2F">
              <w:rPr>
                <w:rFonts w:ascii="Arial" w:hAnsi="Arial" w:cs="Arial"/>
                <w:b/>
                <w:bCs/>
                <w:color w:val="000000"/>
                <w:sz w:val="20"/>
                <w:szCs w:val="20"/>
              </w:rPr>
              <w:t>Class of Animal</w:t>
            </w:r>
          </w:p>
        </w:tc>
        <w:tc>
          <w:tcPr>
            <w:tcW w:w="236" w:type="dxa"/>
            <w:tcBorders>
              <w:top w:val="single" w:sz="4" w:space="0" w:color="000000"/>
              <w:left w:val="nil"/>
              <w:bottom w:val="single" w:sz="4" w:space="0" w:color="000000"/>
              <w:right w:val="nil"/>
            </w:tcBorders>
            <w:shd w:val="clear" w:color="auto" w:fill="auto"/>
            <w:noWrap/>
            <w:vAlign w:val="bottom"/>
            <w:hideMark/>
          </w:tcPr>
          <w:p w:rsidR="006F2B2F" w:rsidRPr="006F2B2F" w:rsidRDefault="006F2B2F" w:rsidP="006F2B2F">
            <w:pPr>
              <w:rPr>
                <w:rFonts w:ascii="Arial" w:hAnsi="Arial" w:cs="Arial"/>
                <w:b/>
                <w:bCs/>
                <w:color w:val="000000"/>
                <w:sz w:val="20"/>
                <w:szCs w:val="20"/>
              </w:rPr>
            </w:pPr>
            <w:r w:rsidRPr="006F2B2F">
              <w:rPr>
                <w:rFonts w:ascii="Arial" w:hAnsi="Arial" w:cs="Arial"/>
                <w:b/>
                <w:bCs/>
                <w:color w:val="000000"/>
                <w:sz w:val="20"/>
                <w:szCs w:val="20"/>
              </w:rPr>
              <w:t>Jan</w:t>
            </w:r>
          </w:p>
        </w:tc>
        <w:tc>
          <w:tcPr>
            <w:tcW w:w="236" w:type="dxa"/>
            <w:tcBorders>
              <w:top w:val="single" w:sz="4" w:space="0" w:color="000000"/>
              <w:left w:val="nil"/>
              <w:bottom w:val="single" w:sz="4" w:space="0" w:color="000000"/>
              <w:right w:val="nil"/>
            </w:tcBorders>
            <w:shd w:val="clear" w:color="auto" w:fill="auto"/>
            <w:noWrap/>
            <w:vAlign w:val="bottom"/>
            <w:hideMark/>
          </w:tcPr>
          <w:p w:rsidR="006F2B2F" w:rsidRPr="006F2B2F" w:rsidRDefault="006F2B2F" w:rsidP="006F2B2F">
            <w:pPr>
              <w:rPr>
                <w:rFonts w:ascii="Arial" w:hAnsi="Arial" w:cs="Arial"/>
                <w:b/>
                <w:bCs/>
                <w:color w:val="000000"/>
                <w:sz w:val="20"/>
                <w:szCs w:val="20"/>
              </w:rPr>
            </w:pPr>
            <w:r w:rsidRPr="006F2B2F">
              <w:rPr>
                <w:rFonts w:ascii="Arial" w:hAnsi="Arial" w:cs="Arial"/>
                <w:b/>
                <w:bCs/>
                <w:color w:val="000000"/>
                <w:sz w:val="20"/>
                <w:szCs w:val="20"/>
              </w:rPr>
              <w:t>Feb</w:t>
            </w:r>
          </w:p>
        </w:tc>
        <w:tc>
          <w:tcPr>
            <w:tcW w:w="236" w:type="dxa"/>
            <w:tcBorders>
              <w:top w:val="single" w:sz="4" w:space="0" w:color="000000"/>
              <w:left w:val="nil"/>
              <w:bottom w:val="single" w:sz="4" w:space="0" w:color="000000"/>
              <w:right w:val="nil"/>
            </w:tcBorders>
            <w:shd w:val="clear" w:color="auto" w:fill="auto"/>
            <w:noWrap/>
            <w:vAlign w:val="bottom"/>
            <w:hideMark/>
          </w:tcPr>
          <w:p w:rsidR="006F2B2F" w:rsidRPr="006F2B2F" w:rsidRDefault="006F2B2F" w:rsidP="006F2B2F">
            <w:pPr>
              <w:rPr>
                <w:rFonts w:ascii="Arial" w:hAnsi="Arial" w:cs="Arial"/>
                <w:b/>
                <w:bCs/>
                <w:color w:val="000000"/>
                <w:sz w:val="20"/>
                <w:szCs w:val="20"/>
              </w:rPr>
            </w:pPr>
            <w:r w:rsidRPr="006F2B2F">
              <w:rPr>
                <w:rFonts w:ascii="Arial" w:hAnsi="Arial" w:cs="Arial"/>
                <w:b/>
                <w:bCs/>
                <w:color w:val="000000"/>
                <w:sz w:val="20"/>
                <w:szCs w:val="20"/>
              </w:rPr>
              <w:t>Mar</w:t>
            </w:r>
          </w:p>
        </w:tc>
        <w:tc>
          <w:tcPr>
            <w:tcW w:w="236" w:type="dxa"/>
            <w:tcBorders>
              <w:top w:val="single" w:sz="4" w:space="0" w:color="000000"/>
              <w:left w:val="nil"/>
              <w:bottom w:val="single" w:sz="4" w:space="0" w:color="000000"/>
              <w:right w:val="nil"/>
            </w:tcBorders>
            <w:shd w:val="clear" w:color="auto" w:fill="auto"/>
            <w:noWrap/>
            <w:vAlign w:val="bottom"/>
            <w:hideMark/>
          </w:tcPr>
          <w:p w:rsidR="006F2B2F" w:rsidRPr="006F2B2F" w:rsidRDefault="006F2B2F" w:rsidP="006F2B2F">
            <w:pPr>
              <w:rPr>
                <w:rFonts w:ascii="Arial" w:hAnsi="Arial" w:cs="Arial"/>
                <w:b/>
                <w:bCs/>
                <w:color w:val="000000"/>
                <w:sz w:val="20"/>
                <w:szCs w:val="20"/>
              </w:rPr>
            </w:pPr>
            <w:r w:rsidRPr="006F2B2F">
              <w:rPr>
                <w:rFonts w:ascii="Arial" w:hAnsi="Arial" w:cs="Arial"/>
                <w:b/>
                <w:bCs/>
                <w:color w:val="000000"/>
                <w:sz w:val="20"/>
                <w:szCs w:val="20"/>
              </w:rPr>
              <w:t>Apr</w:t>
            </w:r>
          </w:p>
        </w:tc>
        <w:tc>
          <w:tcPr>
            <w:tcW w:w="236" w:type="dxa"/>
            <w:tcBorders>
              <w:top w:val="single" w:sz="4" w:space="0" w:color="000000"/>
              <w:left w:val="nil"/>
              <w:bottom w:val="single" w:sz="4" w:space="0" w:color="000000"/>
              <w:right w:val="nil"/>
            </w:tcBorders>
            <w:shd w:val="clear" w:color="auto" w:fill="auto"/>
            <w:noWrap/>
            <w:vAlign w:val="bottom"/>
            <w:hideMark/>
          </w:tcPr>
          <w:p w:rsidR="006F2B2F" w:rsidRPr="006F2B2F" w:rsidRDefault="006F2B2F" w:rsidP="006F2B2F">
            <w:pPr>
              <w:rPr>
                <w:rFonts w:ascii="Arial" w:hAnsi="Arial" w:cs="Arial"/>
                <w:b/>
                <w:bCs/>
                <w:color w:val="000000"/>
                <w:sz w:val="20"/>
                <w:szCs w:val="20"/>
              </w:rPr>
            </w:pPr>
            <w:r w:rsidRPr="006F2B2F">
              <w:rPr>
                <w:rFonts w:ascii="Arial" w:hAnsi="Arial" w:cs="Arial"/>
                <w:b/>
                <w:bCs/>
                <w:color w:val="000000"/>
                <w:sz w:val="20"/>
                <w:szCs w:val="20"/>
              </w:rPr>
              <w:t>May</w:t>
            </w:r>
          </w:p>
        </w:tc>
        <w:tc>
          <w:tcPr>
            <w:tcW w:w="236" w:type="dxa"/>
            <w:tcBorders>
              <w:top w:val="single" w:sz="4" w:space="0" w:color="000000"/>
              <w:left w:val="nil"/>
              <w:bottom w:val="single" w:sz="4" w:space="0" w:color="000000"/>
              <w:right w:val="nil"/>
            </w:tcBorders>
            <w:shd w:val="clear" w:color="auto" w:fill="auto"/>
            <w:noWrap/>
            <w:vAlign w:val="bottom"/>
            <w:hideMark/>
          </w:tcPr>
          <w:p w:rsidR="006F2B2F" w:rsidRPr="006F2B2F" w:rsidRDefault="006F2B2F" w:rsidP="006F2B2F">
            <w:pPr>
              <w:rPr>
                <w:rFonts w:ascii="Arial" w:hAnsi="Arial" w:cs="Arial"/>
                <w:b/>
                <w:bCs/>
                <w:color w:val="000000"/>
                <w:sz w:val="20"/>
                <w:szCs w:val="20"/>
              </w:rPr>
            </w:pPr>
            <w:r w:rsidRPr="006F2B2F">
              <w:rPr>
                <w:rFonts w:ascii="Arial" w:hAnsi="Arial" w:cs="Arial"/>
                <w:b/>
                <w:bCs/>
                <w:color w:val="000000"/>
                <w:sz w:val="20"/>
                <w:szCs w:val="20"/>
              </w:rPr>
              <w:t>Jun</w:t>
            </w:r>
          </w:p>
        </w:tc>
        <w:tc>
          <w:tcPr>
            <w:tcW w:w="236" w:type="dxa"/>
            <w:tcBorders>
              <w:top w:val="single" w:sz="4" w:space="0" w:color="000000"/>
              <w:left w:val="nil"/>
              <w:bottom w:val="single" w:sz="4" w:space="0" w:color="000000"/>
              <w:right w:val="nil"/>
            </w:tcBorders>
            <w:shd w:val="clear" w:color="auto" w:fill="auto"/>
            <w:noWrap/>
            <w:vAlign w:val="bottom"/>
            <w:hideMark/>
          </w:tcPr>
          <w:p w:rsidR="006F2B2F" w:rsidRPr="006F2B2F" w:rsidRDefault="006F2B2F" w:rsidP="006F2B2F">
            <w:pPr>
              <w:rPr>
                <w:rFonts w:ascii="Arial" w:hAnsi="Arial" w:cs="Arial"/>
                <w:b/>
                <w:bCs/>
                <w:color w:val="000000"/>
                <w:sz w:val="20"/>
                <w:szCs w:val="20"/>
              </w:rPr>
            </w:pPr>
            <w:r w:rsidRPr="006F2B2F">
              <w:rPr>
                <w:rFonts w:ascii="Arial" w:hAnsi="Arial" w:cs="Arial"/>
                <w:b/>
                <w:bCs/>
                <w:color w:val="000000"/>
                <w:sz w:val="20"/>
                <w:szCs w:val="20"/>
              </w:rPr>
              <w:t>Jul</w:t>
            </w:r>
          </w:p>
        </w:tc>
        <w:tc>
          <w:tcPr>
            <w:tcW w:w="236" w:type="dxa"/>
            <w:tcBorders>
              <w:top w:val="single" w:sz="4" w:space="0" w:color="000000"/>
              <w:left w:val="nil"/>
              <w:bottom w:val="single" w:sz="4" w:space="0" w:color="000000"/>
              <w:right w:val="nil"/>
            </w:tcBorders>
            <w:shd w:val="clear" w:color="auto" w:fill="auto"/>
            <w:noWrap/>
            <w:vAlign w:val="bottom"/>
            <w:hideMark/>
          </w:tcPr>
          <w:p w:rsidR="006F2B2F" w:rsidRPr="006F2B2F" w:rsidRDefault="006F2B2F" w:rsidP="006F2B2F">
            <w:pPr>
              <w:rPr>
                <w:rFonts w:ascii="Arial" w:hAnsi="Arial" w:cs="Arial"/>
                <w:b/>
                <w:bCs/>
                <w:color w:val="000000"/>
                <w:sz w:val="20"/>
                <w:szCs w:val="20"/>
              </w:rPr>
            </w:pPr>
            <w:r w:rsidRPr="006F2B2F">
              <w:rPr>
                <w:rFonts w:ascii="Arial" w:hAnsi="Arial" w:cs="Arial"/>
                <w:b/>
                <w:bCs/>
                <w:color w:val="000000"/>
                <w:sz w:val="20"/>
                <w:szCs w:val="20"/>
              </w:rPr>
              <w:t>Aug</w:t>
            </w:r>
          </w:p>
        </w:tc>
        <w:tc>
          <w:tcPr>
            <w:tcW w:w="236" w:type="dxa"/>
            <w:tcBorders>
              <w:top w:val="single" w:sz="4" w:space="0" w:color="000000"/>
              <w:left w:val="nil"/>
              <w:bottom w:val="single" w:sz="4" w:space="0" w:color="000000"/>
              <w:right w:val="nil"/>
            </w:tcBorders>
            <w:shd w:val="clear" w:color="auto" w:fill="auto"/>
            <w:noWrap/>
            <w:vAlign w:val="bottom"/>
            <w:hideMark/>
          </w:tcPr>
          <w:p w:rsidR="006F2B2F" w:rsidRPr="006F2B2F" w:rsidRDefault="006F2B2F" w:rsidP="00C07F48">
            <w:pPr>
              <w:rPr>
                <w:rFonts w:ascii="Arial" w:hAnsi="Arial" w:cs="Arial"/>
                <w:b/>
                <w:bCs/>
                <w:color w:val="000000"/>
                <w:sz w:val="20"/>
                <w:szCs w:val="20"/>
              </w:rPr>
            </w:pPr>
            <w:r w:rsidRPr="006F2B2F">
              <w:rPr>
                <w:rFonts w:ascii="Arial" w:hAnsi="Arial" w:cs="Arial"/>
                <w:b/>
                <w:bCs/>
                <w:color w:val="000000"/>
                <w:sz w:val="20"/>
                <w:szCs w:val="20"/>
              </w:rPr>
              <w:t>Sep</w:t>
            </w:r>
          </w:p>
        </w:tc>
        <w:tc>
          <w:tcPr>
            <w:tcW w:w="236" w:type="dxa"/>
            <w:tcBorders>
              <w:top w:val="single" w:sz="4" w:space="0" w:color="000000"/>
              <w:left w:val="nil"/>
              <w:bottom w:val="single" w:sz="4" w:space="0" w:color="000000"/>
              <w:right w:val="nil"/>
            </w:tcBorders>
            <w:shd w:val="clear" w:color="auto" w:fill="auto"/>
            <w:noWrap/>
            <w:vAlign w:val="bottom"/>
            <w:hideMark/>
          </w:tcPr>
          <w:p w:rsidR="006F2B2F" w:rsidRPr="006F2B2F" w:rsidRDefault="006F2B2F" w:rsidP="006F2B2F">
            <w:pPr>
              <w:rPr>
                <w:rFonts w:ascii="Arial" w:hAnsi="Arial" w:cs="Arial"/>
                <w:b/>
                <w:bCs/>
                <w:color w:val="000000"/>
                <w:sz w:val="20"/>
                <w:szCs w:val="20"/>
              </w:rPr>
            </w:pPr>
            <w:r w:rsidRPr="006F2B2F">
              <w:rPr>
                <w:rFonts w:ascii="Arial" w:hAnsi="Arial" w:cs="Arial"/>
                <w:b/>
                <w:bCs/>
                <w:color w:val="000000"/>
                <w:sz w:val="20"/>
                <w:szCs w:val="20"/>
              </w:rPr>
              <w:t>Oct</w:t>
            </w:r>
          </w:p>
        </w:tc>
        <w:tc>
          <w:tcPr>
            <w:tcW w:w="236" w:type="dxa"/>
            <w:tcBorders>
              <w:top w:val="single" w:sz="4" w:space="0" w:color="000000"/>
              <w:left w:val="nil"/>
              <w:bottom w:val="single" w:sz="4" w:space="0" w:color="000000"/>
              <w:right w:val="nil"/>
            </w:tcBorders>
            <w:shd w:val="clear" w:color="auto" w:fill="auto"/>
            <w:noWrap/>
            <w:vAlign w:val="bottom"/>
            <w:hideMark/>
          </w:tcPr>
          <w:p w:rsidR="006F2B2F" w:rsidRPr="006F2B2F" w:rsidRDefault="006F2B2F" w:rsidP="006F2B2F">
            <w:pPr>
              <w:rPr>
                <w:rFonts w:ascii="Arial" w:hAnsi="Arial" w:cs="Arial"/>
                <w:b/>
                <w:bCs/>
                <w:color w:val="000000"/>
                <w:sz w:val="20"/>
                <w:szCs w:val="20"/>
              </w:rPr>
            </w:pPr>
            <w:r w:rsidRPr="006F2B2F">
              <w:rPr>
                <w:rFonts w:ascii="Arial" w:hAnsi="Arial" w:cs="Arial"/>
                <w:b/>
                <w:bCs/>
                <w:color w:val="000000"/>
                <w:sz w:val="20"/>
                <w:szCs w:val="20"/>
              </w:rPr>
              <w:t>Nov</w:t>
            </w:r>
          </w:p>
        </w:tc>
        <w:tc>
          <w:tcPr>
            <w:tcW w:w="236" w:type="dxa"/>
            <w:tcBorders>
              <w:top w:val="single" w:sz="4" w:space="0" w:color="000000"/>
              <w:left w:val="nil"/>
              <w:bottom w:val="single" w:sz="4" w:space="0" w:color="000000"/>
              <w:right w:val="nil"/>
            </w:tcBorders>
            <w:shd w:val="clear" w:color="auto" w:fill="auto"/>
            <w:noWrap/>
            <w:vAlign w:val="bottom"/>
            <w:hideMark/>
          </w:tcPr>
          <w:p w:rsidR="006F2B2F" w:rsidRPr="006F2B2F" w:rsidRDefault="006F2B2F" w:rsidP="006F2B2F">
            <w:pPr>
              <w:rPr>
                <w:rFonts w:ascii="Arial" w:hAnsi="Arial" w:cs="Arial"/>
                <w:b/>
                <w:bCs/>
                <w:color w:val="000000"/>
                <w:sz w:val="20"/>
                <w:szCs w:val="20"/>
              </w:rPr>
            </w:pPr>
            <w:r w:rsidRPr="006F2B2F">
              <w:rPr>
                <w:rFonts w:ascii="Arial" w:hAnsi="Arial" w:cs="Arial"/>
                <w:b/>
                <w:bCs/>
                <w:color w:val="000000"/>
                <w:sz w:val="20"/>
                <w:szCs w:val="20"/>
              </w:rPr>
              <w:t>Dec</w:t>
            </w:r>
          </w:p>
        </w:tc>
        <w:tc>
          <w:tcPr>
            <w:tcW w:w="236" w:type="dxa"/>
            <w:tcBorders>
              <w:top w:val="single" w:sz="4" w:space="0" w:color="000000"/>
              <w:left w:val="nil"/>
              <w:bottom w:val="single" w:sz="4" w:space="0" w:color="000000"/>
              <w:right w:val="nil"/>
            </w:tcBorders>
            <w:shd w:val="clear" w:color="auto" w:fill="auto"/>
            <w:noWrap/>
            <w:vAlign w:val="bottom"/>
            <w:hideMark/>
          </w:tcPr>
          <w:p w:rsidR="006F2B2F" w:rsidRPr="006F2B2F" w:rsidRDefault="006F2B2F" w:rsidP="006F2B2F">
            <w:pPr>
              <w:rPr>
                <w:rFonts w:ascii="Arial" w:hAnsi="Arial" w:cs="Arial"/>
                <w:b/>
                <w:bCs/>
                <w:color w:val="000000"/>
                <w:sz w:val="20"/>
                <w:szCs w:val="20"/>
              </w:rPr>
            </w:pPr>
            <w:r w:rsidRPr="006F2B2F">
              <w:rPr>
                <w:rFonts w:ascii="Arial" w:hAnsi="Arial" w:cs="Arial"/>
                <w:b/>
                <w:bCs/>
                <w:color w:val="000000"/>
                <w:sz w:val="20"/>
                <w:szCs w:val="20"/>
              </w:rPr>
              <w:t>Total</w:t>
            </w:r>
          </w:p>
        </w:tc>
      </w:tr>
      <w:tr w:rsidR="006F2B2F" w:rsidRPr="006F2B2F" w:rsidTr="006F2B2F">
        <w:trPr>
          <w:trHeight w:val="255"/>
        </w:trPr>
        <w:tc>
          <w:tcPr>
            <w:tcW w:w="0" w:type="auto"/>
            <w:tcBorders>
              <w:top w:val="nil"/>
              <w:left w:val="nil"/>
              <w:bottom w:val="nil"/>
              <w:right w:val="nil"/>
            </w:tcBorders>
            <w:shd w:val="clear" w:color="D8D8D8" w:fill="D8D8D8"/>
            <w:noWrap/>
            <w:vAlign w:val="bottom"/>
            <w:hideMark/>
          </w:tcPr>
          <w:p w:rsidR="006F2B2F" w:rsidRPr="006F2B2F" w:rsidRDefault="006F2B2F" w:rsidP="006F2B2F">
            <w:pPr>
              <w:rPr>
                <w:rFonts w:ascii="Arial" w:hAnsi="Arial" w:cs="Arial"/>
                <w:color w:val="000000"/>
                <w:sz w:val="20"/>
                <w:szCs w:val="20"/>
              </w:rPr>
            </w:pPr>
            <w:r w:rsidRPr="006F2B2F">
              <w:rPr>
                <w:rFonts w:ascii="Arial" w:hAnsi="Arial" w:cs="Arial"/>
                <w:color w:val="000000"/>
                <w:sz w:val="20"/>
                <w:szCs w:val="20"/>
              </w:rPr>
              <w:t>Steers/heifers</w:t>
            </w:r>
          </w:p>
        </w:tc>
        <w:tc>
          <w:tcPr>
            <w:tcW w:w="236" w:type="dxa"/>
            <w:tcBorders>
              <w:top w:val="nil"/>
              <w:left w:val="nil"/>
              <w:bottom w:val="nil"/>
              <w:right w:val="nil"/>
            </w:tcBorders>
            <w:shd w:val="clear" w:color="D8D8D8" w:fill="D8D8D8"/>
            <w:noWrap/>
            <w:vAlign w:val="bottom"/>
            <w:hideMark/>
          </w:tcPr>
          <w:p w:rsidR="006F2B2F" w:rsidRPr="006F2B2F" w:rsidRDefault="006F2B2F" w:rsidP="006F2B2F">
            <w:pPr>
              <w:jc w:val="right"/>
              <w:rPr>
                <w:rFonts w:ascii="Arial" w:hAnsi="Arial" w:cs="Arial"/>
                <w:color w:val="000000"/>
                <w:sz w:val="20"/>
                <w:szCs w:val="20"/>
              </w:rPr>
            </w:pPr>
            <w:r w:rsidRPr="006F2B2F">
              <w:rPr>
                <w:rFonts w:ascii="Arial" w:hAnsi="Arial" w:cs="Arial"/>
                <w:color w:val="000000"/>
                <w:sz w:val="20"/>
                <w:szCs w:val="20"/>
              </w:rPr>
              <w:t xml:space="preserve">         392 </w:t>
            </w:r>
          </w:p>
        </w:tc>
        <w:tc>
          <w:tcPr>
            <w:tcW w:w="236" w:type="dxa"/>
            <w:tcBorders>
              <w:top w:val="nil"/>
              <w:left w:val="nil"/>
              <w:bottom w:val="nil"/>
              <w:right w:val="nil"/>
            </w:tcBorders>
            <w:shd w:val="clear" w:color="D8D8D8" w:fill="D8D8D8"/>
            <w:noWrap/>
            <w:vAlign w:val="bottom"/>
            <w:hideMark/>
          </w:tcPr>
          <w:p w:rsidR="006F2B2F" w:rsidRPr="006F2B2F" w:rsidRDefault="006F2B2F" w:rsidP="006F2B2F">
            <w:pPr>
              <w:jc w:val="right"/>
              <w:rPr>
                <w:rFonts w:ascii="Arial" w:hAnsi="Arial" w:cs="Arial"/>
                <w:color w:val="000000"/>
                <w:sz w:val="20"/>
                <w:szCs w:val="20"/>
              </w:rPr>
            </w:pPr>
            <w:r w:rsidRPr="006F2B2F">
              <w:rPr>
                <w:rFonts w:ascii="Arial" w:hAnsi="Arial" w:cs="Arial"/>
                <w:color w:val="000000"/>
                <w:sz w:val="20"/>
                <w:szCs w:val="20"/>
              </w:rPr>
              <w:t xml:space="preserve">         264 </w:t>
            </w:r>
          </w:p>
        </w:tc>
        <w:tc>
          <w:tcPr>
            <w:tcW w:w="236" w:type="dxa"/>
            <w:tcBorders>
              <w:top w:val="nil"/>
              <w:left w:val="nil"/>
              <w:bottom w:val="nil"/>
              <w:right w:val="nil"/>
            </w:tcBorders>
            <w:shd w:val="clear" w:color="D8D8D8" w:fill="D8D8D8"/>
            <w:noWrap/>
            <w:vAlign w:val="bottom"/>
            <w:hideMark/>
          </w:tcPr>
          <w:p w:rsidR="006F2B2F" w:rsidRPr="006F2B2F" w:rsidRDefault="006F2B2F" w:rsidP="006F2B2F">
            <w:pPr>
              <w:jc w:val="right"/>
              <w:rPr>
                <w:rFonts w:ascii="Arial" w:hAnsi="Arial" w:cs="Arial"/>
                <w:color w:val="000000"/>
                <w:sz w:val="20"/>
                <w:szCs w:val="20"/>
              </w:rPr>
            </w:pPr>
            <w:r w:rsidRPr="006F2B2F">
              <w:rPr>
                <w:rFonts w:ascii="Arial" w:hAnsi="Arial" w:cs="Arial"/>
                <w:color w:val="000000"/>
                <w:sz w:val="20"/>
                <w:szCs w:val="20"/>
              </w:rPr>
              <w:t xml:space="preserve">         767 </w:t>
            </w:r>
          </w:p>
        </w:tc>
        <w:tc>
          <w:tcPr>
            <w:tcW w:w="236" w:type="dxa"/>
            <w:tcBorders>
              <w:top w:val="nil"/>
              <w:left w:val="nil"/>
              <w:bottom w:val="nil"/>
              <w:right w:val="nil"/>
            </w:tcBorders>
            <w:shd w:val="clear" w:color="D8D8D8" w:fill="D8D8D8"/>
            <w:noWrap/>
            <w:vAlign w:val="bottom"/>
            <w:hideMark/>
          </w:tcPr>
          <w:p w:rsidR="006F2B2F" w:rsidRPr="006F2B2F" w:rsidRDefault="006F2B2F" w:rsidP="006F2B2F">
            <w:pPr>
              <w:jc w:val="right"/>
              <w:rPr>
                <w:rFonts w:ascii="Arial" w:hAnsi="Arial" w:cs="Arial"/>
                <w:color w:val="000000"/>
                <w:sz w:val="20"/>
                <w:szCs w:val="20"/>
              </w:rPr>
            </w:pPr>
            <w:r w:rsidRPr="006F2B2F">
              <w:rPr>
                <w:rFonts w:ascii="Arial" w:hAnsi="Arial" w:cs="Arial"/>
                <w:color w:val="000000"/>
                <w:sz w:val="20"/>
                <w:szCs w:val="20"/>
              </w:rPr>
              <w:t xml:space="preserve">         843 </w:t>
            </w:r>
          </w:p>
        </w:tc>
        <w:tc>
          <w:tcPr>
            <w:tcW w:w="236" w:type="dxa"/>
            <w:tcBorders>
              <w:top w:val="nil"/>
              <w:left w:val="nil"/>
              <w:bottom w:val="nil"/>
              <w:right w:val="nil"/>
            </w:tcBorders>
            <w:shd w:val="clear" w:color="D8D8D8" w:fill="D8D8D8"/>
            <w:noWrap/>
            <w:vAlign w:val="bottom"/>
            <w:hideMark/>
          </w:tcPr>
          <w:p w:rsidR="006F2B2F" w:rsidRPr="006F2B2F" w:rsidRDefault="006F2B2F" w:rsidP="006F2B2F">
            <w:pPr>
              <w:jc w:val="right"/>
              <w:rPr>
                <w:rFonts w:ascii="Arial" w:hAnsi="Arial" w:cs="Arial"/>
                <w:color w:val="000000"/>
                <w:sz w:val="20"/>
                <w:szCs w:val="20"/>
              </w:rPr>
            </w:pPr>
            <w:r w:rsidRPr="006F2B2F">
              <w:rPr>
                <w:rFonts w:ascii="Arial" w:hAnsi="Arial" w:cs="Arial"/>
                <w:color w:val="000000"/>
                <w:sz w:val="20"/>
                <w:szCs w:val="20"/>
              </w:rPr>
              <w:t xml:space="preserve">       2,290 </w:t>
            </w:r>
          </w:p>
        </w:tc>
        <w:tc>
          <w:tcPr>
            <w:tcW w:w="236" w:type="dxa"/>
            <w:tcBorders>
              <w:top w:val="nil"/>
              <w:left w:val="nil"/>
              <w:bottom w:val="nil"/>
              <w:right w:val="nil"/>
            </w:tcBorders>
            <w:shd w:val="clear" w:color="D8D8D8" w:fill="D8D8D8"/>
            <w:noWrap/>
            <w:vAlign w:val="bottom"/>
            <w:hideMark/>
          </w:tcPr>
          <w:p w:rsidR="006F2B2F" w:rsidRPr="006F2B2F" w:rsidRDefault="006F2B2F" w:rsidP="006F2B2F">
            <w:pPr>
              <w:jc w:val="right"/>
              <w:rPr>
                <w:rFonts w:ascii="Arial" w:hAnsi="Arial" w:cs="Arial"/>
                <w:color w:val="000000"/>
                <w:sz w:val="20"/>
                <w:szCs w:val="20"/>
              </w:rPr>
            </w:pPr>
            <w:r w:rsidRPr="006F2B2F">
              <w:rPr>
                <w:rFonts w:ascii="Arial" w:hAnsi="Arial" w:cs="Arial"/>
                <w:color w:val="000000"/>
                <w:sz w:val="20"/>
                <w:szCs w:val="20"/>
              </w:rPr>
              <w:t xml:space="preserve">       1,806 </w:t>
            </w:r>
          </w:p>
        </w:tc>
        <w:tc>
          <w:tcPr>
            <w:tcW w:w="236" w:type="dxa"/>
            <w:tcBorders>
              <w:top w:val="nil"/>
              <w:left w:val="nil"/>
              <w:bottom w:val="nil"/>
              <w:right w:val="nil"/>
            </w:tcBorders>
            <w:shd w:val="clear" w:color="D8D8D8" w:fill="D8D8D8"/>
            <w:noWrap/>
            <w:vAlign w:val="bottom"/>
            <w:hideMark/>
          </w:tcPr>
          <w:p w:rsidR="006F2B2F" w:rsidRPr="006F2B2F" w:rsidRDefault="006F2B2F" w:rsidP="006F2B2F">
            <w:pPr>
              <w:jc w:val="right"/>
              <w:rPr>
                <w:rFonts w:ascii="Arial" w:hAnsi="Arial" w:cs="Arial"/>
                <w:color w:val="000000"/>
                <w:sz w:val="20"/>
                <w:szCs w:val="20"/>
              </w:rPr>
            </w:pPr>
            <w:r w:rsidRPr="006F2B2F">
              <w:rPr>
                <w:rFonts w:ascii="Arial" w:hAnsi="Arial" w:cs="Arial"/>
                <w:color w:val="000000"/>
                <w:sz w:val="20"/>
                <w:szCs w:val="20"/>
              </w:rPr>
              <w:t xml:space="preserve">       1,239 </w:t>
            </w:r>
          </w:p>
        </w:tc>
        <w:tc>
          <w:tcPr>
            <w:tcW w:w="236" w:type="dxa"/>
            <w:tcBorders>
              <w:top w:val="nil"/>
              <w:left w:val="nil"/>
              <w:bottom w:val="nil"/>
              <w:right w:val="nil"/>
            </w:tcBorders>
            <w:shd w:val="clear" w:color="D8D8D8" w:fill="D8D8D8"/>
            <w:noWrap/>
            <w:vAlign w:val="bottom"/>
            <w:hideMark/>
          </w:tcPr>
          <w:p w:rsidR="006F2B2F" w:rsidRPr="006F2B2F" w:rsidRDefault="006F2B2F" w:rsidP="006F2B2F">
            <w:pPr>
              <w:jc w:val="right"/>
              <w:rPr>
                <w:rFonts w:ascii="Arial" w:hAnsi="Arial" w:cs="Arial"/>
                <w:color w:val="000000"/>
                <w:sz w:val="20"/>
                <w:szCs w:val="20"/>
              </w:rPr>
            </w:pPr>
            <w:r w:rsidRPr="006F2B2F">
              <w:rPr>
                <w:rFonts w:ascii="Arial" w:hAnsi="Arial" w:cs="Arial"/>
                <w:color w:val="000000"/>
                <w:sz w:val="20"/>
                <w:szCs w:val="20"/>
              </w:rPr>
              <w:t xml:space="preserve">         925 </w:t>
            </w:r>
          </w:p>
        </w:tc>
        <w:tc>
          <w:tcPr>
            <w:tcW w:w="236" w:type="dxa"/>
            <w:tcBorders>
              <w:top w:val="nil"/>
              <w:left w:val="nil"/>
              <w:bottom w:val="nil"/>
              <w:right w:val="nil"/>
            </w:tcBorders>
            <w:shd w:val="clear" w:color="D8D8D8" w:fill="D8D8D8"/>
            <w:noWrap/>
            <w:vAlign w:val="bottom"/>
            <w:hideMark/>
          </w:tcPr>
          <w:p w:rsidR="006F2B2F" w:rsidRPr="006F2B2F" w:rsidRDefault="006F2B2F" w:rsidP="006F2B2F">
            <w:pPr>
              <w:jc w:val="right"/>
              <w:rPr>
                <w:rFonts w:ascii="Arial" w:hAnsi="Arial" w:cs="Arial"/>
                <w:color w:val="000000"/>
                <w:sz w:val="20"/>
                <w:szCs w:val="20"/>
              </w:rPr>
            </w:pPr>
            <w:r w:rsidRPr="006F2B2F">
              <w:rPr>
                <w:rFonts w:ascii="Arial" w:hAnsi="Arial" w:cs="Arial"/>
                <w:color w:val="000000"/>
                <w:sz w:val="20"/>
                <w:szCs w:val="20"/>
              </w:rPr>
              <w:t xml:space="preserve">       1,170 </w:t>
            </w:r>
          </w:p>
        </w:tc>
        <w:tc>
          <w:tcPr>
            <w:tcW w:w="236" w:type="dxa"/>
            <w:tcBorders>
              <w:top w:val="nil"/>
              <w:left w:val="nil"/>
              <w:bottom w:val="nil"/>
              <w:right w:val="nil"/>
            </w:tcBorders>
            <w:shd w:val="clear" w:color="D8D8D8" w:fill="D8D8D8"/>
            <w:noWrap/>
            <w:vAlign w:val="bottom"/>
            <w:hideMark/>
          </w:tcPr>
          <w:p w:rsidR="006F2B2F" w:rsidRPr="006F2B2F" w:rsidRDefault="006F2B2F" w:rsidP="006F2B2F">
            <w:pPr>
              <w:jc w:val="right"/>
              <w:rPr>
                <w:rFonts w:ascii="Arial" w:hAnsi="Arial" w:cs="Arial"/>
                <w:color w:val="000000"/>
                <w:sz w:val="20"/>
                <w:szCs w:val="20"/>
              </w:rPr>
            </w:pPr>
            <w:r w:rsidRPr="006F2B2F">
              <w:rPr>
                <w:rFonts w:ascii="Arial" w:hAnsi="Arial" w:cs="Arial"/>
                <w:color w:val="000000"/>
                <w:sz w:val="20"/>
                <w:szCs w:val="20"/>
              </w:rPr>
              <w:t xml:space="preserve">       1,507 </w:t>
            </w:r>
          </w:p>
        </w:tc>
        <w:tc>
          <w:tcPr>
            <w:tcW w:w="236" w:type="dxa"/>
            <w:tcBorders>
              <w:top w:val="nil"/>
              <w:left w:val="nil"/>
              <w:bottom w:val="nil"/>
              <w:right w:val="nil"/>
            </w:tcBorders>
            <w:shd w:val="clear" w:color="D8D8D8" w:fill="D8D8D8"/>
            <w:noWrap/>
            <w:vAlign w:val="bottom"/>
            <w:hideMark/>
          </w:tcPr>
          <w:p w:rsidR="006F2B2F" w:rsidRPr="006F2B2F" w:rsidRDefault="006F2B2F" w:rsidP="006F2B2F">
            <w:pPr>
              <w:jc w:val="right"/>
              <w:rPr>
                <w:rFonts w:ascii="Arial" w:hAnsi="Arial" w:cs="Arial"/>
                <w:color w:val="000000"/>
                <w:sz w:val="20"/>
                <w:szCs w:val="20"/>
              </w:rPr>
            </w:pPr>
            <w:r w:rsidRPr="006F2B2F">
              <w:rPr>
                <w:rFonts w:ascii="Arial" w:hAnsi="Arial" w:cs="Arial"/>
                <w:color w:val="000000"/>
                <w:sz w:val="20"/>
                <w:szCs w:val="20"/>
              </w:rPr>
              <w:t xml:space="preserve">       1,863 </w:t>
            </w:r>
          </w:p>
        </w:tc>
        <w:tc>
          <w:tcPr>
            <w:tcW w:w="236" w:type="dxa"/>
            <w:tcBorders>
              <w:top w:val="nil"/>
              <w:left w:val="nil"/>
              <w:bottom w:val="nil"/>
              <w:right w:val="nil"/>
            </w:tcBorders>
            <w:shd w:val="clear" w:color="D8D8D8" w:fill="D8D8D8"/>
            <w:noWrap/>
            <w:vAlign w:val="bottom"/>
            <w:hideMark/>
          </w:tcPr>
          <w:p w:rsidR="006F2B2F" w:rsidRPr="006F2B2F" w:rsidRDefault="006F2B2F" w:rsidP="006F2B2F">
            <w:pPr>
              <w:jc w:val="right"/>
              <w:rPr>
                <w:rFonts w:ascii="Arial" w:hAnsi="Arial" w:cs="Arial"/>
                <w:color w:val="000000"/>
                <w:sz w:val="20"/>
                <w:szCs w:val="20"/>
              </w:rPr>
            </w:pPr>
            <w:r w:rsidRPr="006F2B2F">
              <w:rPr>
                <w:rFonts w:ascii="Arial" w:hAnsi="Arial" w:cs="Arial"/>
                <w:color w:val="000000"/>
                <w:sz w:val="20"/>
                <w:szCs w:val="20"/>
              </w:rPr>
              <w:t xml:space="preserve">       1,779 </w:t>
            </w:r>
          </w:p>
        </w:tc>
        <w:tc>
          <w:tcPr>
            <w:tcW w:w="236" w:type="dxa"/>
            <w:tcBorders>
              <w:top w:val="nil"/>
              <w:left w:val="nil"/>
              <w:bottom w:val="nil"/>
              <w:right w:val="nil"/>
            </w:tcBorders>
            <w:shd w:val="clear" w:color="D8D8D8" w:fill="D8D8D8"/>
            <w:noWrap/>
            <w:vAlign w:val="bottom"/>
            <w:hideMark/>
          </w:tcPr>
          <w:p w:rsidR="006F2B2F" w:rsidRPr="006F2B2F" w:rsidRDefault="006F2B2F" w:rsidP="006F2B2F">
            <w:pPr>
              <w:jc w:val="right"/>
              <w:rPr>
                <w:rFonts w:ascii="Arial" w:hAnsi="Arial" w:cs="Arial"/>
                <w:color w:val="000000"/>
                <w:sz w:val="20"/>
                <w:szCs w:val="20"/>
              </w:rPr>
            </w:pPr>
            <w:r w:rsidRPr="006F2B2F">
              <w:rPr>
                <w:rFonts w:ascii="Arial" w:hAnsi="Arial" w:cs="Arial"/>
                <w:color w:val="000000"/>
                <w:sz w:val="20"/>
                <w:szCs w:val="20"/>
              </w:rPr>
              <w:t xml:space="preserve">       14,845 </w:t>
            </w:r>
          </w:p>
        </w:tc>
      </w:tr>
      <w:tr w:rsidR="006F2B2F" w:rsidRPr="006F2B2F" w:rsidTr="006F2B2F">
        <w:trPr>
          <w:trHeight w:val="255"/>
        </w:trPr>
        <w:tc>
          <w:tcPr>
            <w:tcW w:w="0" w:type="auto"/>
            <w:tcBorders>
              <w:top w:val="nil"/>
              <w:left w:val="nil"/>
              <w:bottom w:val="nil"/>
              <w:right w:val="nil"/>
            </w:tcBorders>
            <w:shd w:val="clear" w:color="auto" w:fill="auto"/>
            <w:noWrap/>
            <w:vAlign w:val="bottom"/>
            <w:hideMark/>
          </w:tcPr>
          <w:p w:rsidR="006F2B2F" w:rsidRPr="006F2B2F" w:rsidRDefault="006F2B2F" w:rsidP="006F2B2F">
            <w:pPr>
              <w:rPr>
                <w:rFonts w:ascii="Arial" w:hAnsi="Arial" w:cs="Arial"/>
                <w:color w:val="000000"/>
                <w:sz w:val="20"/>
                <w:szCs w:val="20"/>
              </w:rPr>
            </w:pPr>
            <w:r w:rsidRPr="006F2B2F">
              <w:rPr>
                <w:rFonts w:ascii="Arial" w:hAnsi="Arial" w:cs="Arial"/>
                <w:color w:val="000000"/>
                <w:sz w:val="20"/>
                <w:szCs w:val="20"/>
              </w:rPr>
              <w:t>Lambs</w:t>
            </w:r>
          </w:p>
        </w:tc>
        <w:tc>
          <w:tcPr>
            <w:tcW w:w="236" w:type="dxa"/>
            <w:tcBorders>
              <w:top w:val="nil"/>
              <w:left w:val="nil"/>
              <w:bottom w:val="nil"/>
              <w:right w:val="nil"/>
            </w:tcBorders>
            <w:shd w:val="clear" w:color="auto" w:fill="auto"/>
            <w:noWrap/>
            <w:vAlign w:val="bottom"/>
            <w:hideMark/>
          </w:tcPr>
          <w:p w:rsidR="006F2B2F" w:rsidRPr="006F2B2F" w:rsidRDefault="006F2B2F" w:rsidP="006F2B2F">
            <w:pPr>
              <w:jc w:val="right"/>
              <w:rPr>
                <w:rFonts w:ascii="Arial" w:hAnsi="Arial" w:cs="Arial"/>
                <w:color w:val="000000"/>
                <w:sz w:val="20"/>
                <w:szCs w:val="20"/>
              </w:rPr>
            </w:pPr>
            <w:r w:rsidRPr="006F2B2F">
              <w:rPr>
                <w:rFonts w:ascii="Arial" w:hAnsi="Arial" w:cs="Arial"/>
                <w:color w:val="000000"/>
                <w:sz w:val="20"/>
                <w:szCs w:val="20"/>
              </w:rPr>
              <w:t xml:space="preserve">         156 </w:t>
            </w:r>
          </w:p>
        </w:tc>
        <w:tc>
          <w:tcPr>
            <w:tcW w:w="236" w:type="dxa"/>
            <w:tcBorders>
              <w:top w:val="nil"/>
              <w:left w:val="nil"/>
              <w:bottom w:val="nil"/>
              <w:right w:val="nil"/>
            </w:tcBorders>
            <w:shd w:val="clear" w:color="auto" w:fill="auto"/>
            <w:noWrap/>
            <w:vAlign w:val="bottom"/>
            <w:hideMark/>
          </w:tcPr>
          <w:p w:rsidR="006F2B2F" w:rsidRPr="006F2B2F" w:rsidRDefault="006F2B2F" w:rsidP="006F2B2F">
            <w:pPr>
              <w:jc w:val="right"/>
              <w:rPr>
                <w:rFonts w:ascii="Arial" w:hAnsi="Arial" w:cs="Arial"/>
                <w:color w:val="000000"/>
                <w:sz w:val="20"/>
                <w:szCs w:val="20"/>
              </w:rPr>
            </w:pPr>
            <w:r w:rsidRPr="006F2B2F">
              <w:rPr>
                <w:rFonts w:ascii="Arial" w:hAnsi="Arial" w:cs="Arial"/>
                <w:color w:val="000000"/>
                <w:sz w:val="20"/>
                <w:szCs w:val="20"/>
              </w:rPr>
              <w:t xml:space="preserve">         136 </w:t>
            </w:r>
          </w:p>
        </w:tc>
        <w:tc>
          <w:tcPr>
            <w:tcW w:w="236" w:type="dxa"/>
            <w:tcBorders>
              <w:top w:val="nil"/>
              <w:left w:val="nil"/>
              <w:bottom w:val="nil"/>
              <w:right w:val="nil"/>
            </w:tcBorders>
            <w:shd w:val="clear" w:color="auto" w:fill="auto"/>
            <w:noWrap/>
            <w:vAlign w:val="bottom"/>
            <w:hideMark/>
          </w:tcPr>
          <w:p w:rsidR="006F2B2F" w:rsidRPr="006F2B2F" w:rsidRDefault="006F2B2F" w:rsidP="006F2B2F">
            <w:pPr>
              <w:jc w:val="right"/>
              <w:rPr>
                <w:rFonts w:ascii="Arial" w:hAnsi="Arial" w:cs="Arial"/>
                <w:color w:val="000000"/>
                <w:sz w:val="20"/>
                <w:szCs w:val="20"/>
              </w:rPr>
            </w:pPr>
            <w:r w:rsidRPr="006F2B2F">
              <w:rPr>
                <w:rFonts w:ascii="Arial" w:hAnsi="Arial" w:cs="Arial"/>
                <w:color w:val="000000"/>
                <w:sz w:val="20"/>
                <w:szCs w:val="20"/>
              </w:rPr>
              <w:t xml:space="preserve">         354 </w:t>
            </w:r>
          </w:p>
        </w:tc>
        <w:tc>
          <w:tcPr>
            <w:tcW w:w="236" w:type="dxa"/>
            <w:tcBorders>
              <w:top w:val="nil"/>
              <w:left w:val="nil"/>
              <w:bottom w:val="nil"/>
              <w:right w:val="nil"/>
            </w:tcBorders>
            <w:shd w:val="clear" w:color="auto" w:fill="auto"/>
            <w:noWrap/>
            <w:vAlign w:val="bottom"/>
            <w:hideMark/>
          </w:tcPr>
          <w:p w:rsidR="006F2B2F" w:rsidRPr="006F2B2F" w:rsidRDefault="006F2B2F" w:rsidP="006F2B2F">
            <w:pPr>
              <w:jc w:val="right"/>
              <w:rPr>
                <w:rFonts w:ascii="Arial" w:hAnsi="Arial" w:cs="Arial"/>
                <w:color w:val="000000"/>
                <w:sz w:val="20"/>
                <w:szCs w:val="20"/>
              </w:rPr>
            </w:pPr>
            <w:r w:rsidRPr="006F2B2F">
              <w:rPr>
                <w:rFonts w:ascii="Arial" w:hAnsi="Arial" w:cs="Arial"/>
                <w:color w:val="000000"/>
                <w:sz w:val="20"/>
                <w:szCs w:val="20"/>
              </w:rPr>
              <w:t xml:space="preserve">         338 </w:t>
            </w:r>
          </w:p>
        </w:tc>
        <w:tc>
          <w:tcPr>
            <w:tcW w:w="236" w:type="dxa"/>
            <w:tcBorders>
              <w:top w:val="nil"/>
              <w:left w:val="nil"/>
              <w:bottom w:val="nil"/>
              <w:right w:val="nil"/>
            </w:tcBorders>
            <w:shd w:val="clear" w:color="auto" w:fill="auto"/>
            <w:noWrap/>
            <w:vAlign w:val="bottom"/>
            <w:hideMark/>
          </w:tcPr>
          <w:p w:rsidR="006F2B2F" w:rsidRPr="006F2B2F" w:rsidRDefault="006F2B2F" w:rsidP="006F2B2F">
            <w:pPr>
              <w:jc w:val="right"/>
              <w:rPr>
                <w:rFonts w:ascii="Arial" w:hAnsi="Arial" w:cs="Arial"/>
                <w:color w:val="000000"/>
                <w:sz w:val="20"/>
                <w:szCs w:val="20"/>
              </w:rPr>
            </w:pPr>
            <w:r w:rsidRPr="006F2B2F">
              <w:rPr>
                <w:rFonts w:ascii="Arial" w:hAnsi="Arial" w:cs="Arial"/>
                <w:color w:val="000000"/>
                <w:sz w:val="20"/>
                <w:szCs w:val="20"/>
              </w:rPr>
              <w:t xml:space="preserve">          365 </w:t>
            </w:r>
          </w:p>
        </w:tc>
        <w:tc>
          <w:tcPr>
            <w:tcW w:w="236" w:type="dxa"/>
            <w:tcBorders>
              <w:top w:val="nil"/>
              <w:left w:val="nil"/>
              <w:bottom w:val="nil"/>
              <w:right w:val="nil"/>
            </w:tcBorders>
            <w:shd w:val="clear" w:color="auto" w:fill="auto"/>
            <w:noWrap/>
            <w:vAlign w:val="bottom"/>
            <w:hideMark/>
          </w:tcPr>
          <w:p w:rsidR="006F2B2F" w:rsidRPr="006F2B2F" w:rsidRDefault="006F2B2F" w:rsidP="006F2B2F">
            <w:pPr>
              <w:jc w:val="right"/>
              <w:rPr>
                <w:rFonts w:ascii="Arial" w:hAnsi="Arial" w:cs="Arial"/>
                <w:color w:val="000000"/>
                <w:sz w:val="20"/>
                <w:szCs w:val="20"/>
              </w:rPr>
            </w:pPr>
            <w:r w:rsidRPr="006F2B2F">
              <w:rPr>
                <w:rFonts w:ascii="Arial" w:hAnsi="Arial" w:cs="Arial"/>
                <w:color w:val="000000"/>
                <w:sz w:val="20"/>
                <w:szCs w:val="20"/>
              </w:rPr>
              <w:t xml:space="preserve">          753 </w:t>
            </w:r>
          </w:p>
        </w:tc>
        <w:tc>
          <w:tcPr>
            <w:tcW w:w="236" w:type="dxa"/>
            <w:tcBorders>
              <w:top w:val="nil"/>
              <w:left w:val="nil"/>
              <w:bottom w:val="nil"/>
              <w:right w:val="nil"/>
            </w:tcBorders>
            <w:shd w:val="clear" w:color="auto" w:fill="auto"/>
            <w:noWrap/>
            <w:vAlign w:val="bottom"/>
            <w:hideMark/>
          </w:tcPr>
          <w:p w:rsidR="006F2B2F" w:rsidRPr="006F2B2F" w:rsidRDefault="006F2B2F" w:rsidP="006F2B2F">
            <w:pPr>
              <w:jc w:val="right"/>
              <w:rPr>
                <w:rFonts w:ascii="Arial" w:hAnsi="Arial" w:cs="Arial"/>
                <w:color w:val="000000"/>
                <w:sz w:val="20"/>
                <w:szCs w:val="20"/>
              </w:rPr>
            </w:pPr>
            <w:r w:rsidRPr="006F2B2F">
              <w:rPr>
                <w:rFonts w:ascii="Arial" w:hAnsi="Arial" w:cs="Arial"/>
                <w:color w:val="000000"/>
                <w:sz w:val="20"/>
                <w:szCs w:val="20"/>
              </w:rPr>
              <w:t xml:space="preserve">          594 </w:t>
            </w:r>
          </w:p>
        </w:tc>
        <w:tc>
          <w:tcPr>
            <w:tcW w:w="236" w:type="dxa"/>
            <w:tcBorders>
              <w:top w:val="nil"/>
              <w:left w:val="nil"/>
              <w:bottom w:val="nil"/>
              <w:right w:val="nil"/>
            </w:tcBorders>
            <w:shd w:val="clear" w:color="auto" w:fill="auto"/>
            <w:noWrap/>
            <w:vAlign w:val="bottom"/>
            <w:hideMark/>
          </w:tcPr>
          <w:p w:rsidR="006F2B2F" w:rsidRPr="006F2B2F" w:rsidRDefault="006F2B2F" w:rsidP="006F2B2F">
            <w:pPr>
              <w:jc w:val="right"/>
              <w:rPr>
                <w:rFonts w:ascii="Arial" w:hAnsi="Arial" w:cs="Arial"/>
                <w:color w:val="000000"/>
                <w:sz w:val="20"/>
                <w:szCs w:val="20"/>
              </w:rPr>
            </w:pPr>
            <w:r w:rsidRPr="006F2B2F">
              <w:rPr>
                <w:rFonts w:ascii="Arial" w:hAnsi="Arial" w:cs="Arial"/>
                <w:color w:val="000000"/>
                <w:sz w:val="20"/>
                <w:szCs w:val="20"/>
              </w:rPr>
              <w:t xml:space="preserve">         832 </w:t>
            </w:r>
          </w:p>
        </w:tc>
        <w:tc>
          <w:tcPr>
            <w:tcW w:w="236" w:type="dxa"/>
            <w:tcBorders>
              <w:top w:val="nil"/>
              <w:left w:val="nil"/>
              <w:bottom w:val="nil"/>
              <w:right w:val="nil"/>
            </w:tcBorders>
            <w:shd w:val="clear" w:color="auto" w:fill="auto"/>
            <w:noWrap/>
            <w:vAlign w:val="bottom"/>
            <w:hideMark/>
          </w:tcPr>
          <w:p w:rsidR="006F2B2F" w:rsidRPr="006F2B2F" w:rsidRDefault="006F2B2F" w:rsidP="006F2B2F">
            <w:pPr>
              <w:jc w:val="right"/>
              <w:rPr>
                <w:rFonts w:ascii="Arial" w:hAnsi="Arial" w:cs="Arial"/>
                <w:color w:val="000000"/>
                <w:sz w:val="20"/>
                <w:szCs w:val="20"/>
              </w:rPr>
            </w:pPr>
            <w:r w:rsidRPr="006F2B2F">
              <w:rPr>
                <w:rFonts w:ascii="Arial" w:hAnsi="Arial" w:cs="Arial"/>
                <w:color w:val="000000"/>
                <w:sz w:val="20"/>
                <w:szCs w:val="20"/>
              </w:rPr>
              <w:t xml:space="preserve">          900 </w:t>
            </w:r>
          </w:p>
        </w:tc>
        <w:tc>
          <w:tcPr>
            <w:tcW w:w="236" w:type="dxa"/>
            <w:tcBorders>
              <w:top w:val="nil"/>
              <w:left w:val="nil"/>
              <w:bottom w:val="nil"/>
              <w:right w:val="nil"/>
            </w:tcBorders>
            <w:shd w:val="clear" w:color="auto" w:fill="auto"/>
            <w:noWrap/>
            <w:vAlign w:val="bottom"/>
            <w:hideMark/>
          </w:tcPr>
          <w:p w:rsidR="006F2B2F" w:rsidRPr="006F2B2F" w:rsidRDefault="006F2B2F" w:rsidP="006F2B2F">
            <w:pPr>
              <w:jc w:val="right"/>
              <w:rPr>
                <w:rFonts w:ascii="Arial" w:hAnsi="Arial" w:cs="Arial"/>
                <w:color w:val="000000"/>
                <w:sz w:val="20"/>
                <w:szCs w:val="20"/>
              </w:rPr>
            </w:pPr>
            <w:r w:rsidRPr="006F2B2F">
              <w:rPr>
                <w:rFonts w:ascii="Arial" w:hAnsi="Arial" w:cs="Arial"/>
                <w:color w:val="000000"/>
                <w:sz w:val="20"/>
                <w:szCs w:val="20"/>
              </w:rPr>
              <w:t xml:space="preserve">          658 </w:t>
            </w:r>
          </w:p>
        </w:tc>
        <w:tc>
          <w:tcPr>
            <w:tcW w:w="236" w:type="dxa"/>
            <w:tcBorders>
              <w:top w:val="nil"/>
              <w:left w:val="nil"/>
              <w:bottom w:val="nil"/>
              <w:right w:val="nil"/>
            </w:tcBorders>
            <w:shd w:val="clear" w:color="auto" w:fill="auto"/>
            <w:noWrap/>
            <w:vAlign w:val="bottom"/>
            <w:hideMark/>
          </w:tcPr>
          <w:p w:rsidR="006F2B2F" w:rsidRPr="006F2B2F" w:rsidRDefault="006F2B2F" w:rsidP="006F2B2F">
            <w:pPr>
              <w:jc w:val="right"/>
              <w:rPr>
                <w:rFonts w:ascii="Arial" w:hAnsi="Arial" w:cs="Arial"/>
                <w:color w:val="000000"/>
                <w:sz w:val="20"/>
                <w:szCs w:val="20"/>
              </w:rPr>
            </w:pPr>
            <w:r w:rsidRPr="006F2B2F">
              <w:rPr>
                <w:rFonts w:ascii="Arial" w:hAnsi="Arial" w:cs="Arial"/>
                <w:color w:val="000000"/>
                <w:sz w:val="20"/>
                <w:szCs w:val="20"/>
              </w:rPr>
              <w:t xml:space="preserve">       1,084 </w:t>
            </w:r>
          </w:p>
        </w:tc>
        <w:tc>
          <w:tcPr>
            <w:tcW w:w="236" w:type="dxa"/>
            <w:tcBorders>
              <w:top w:val="nil"/>
              <w:left w:val="nil"/>
              <w:bottom w:val="nil"/>
              <w:right w:val="nil"/>
            </w:tcBorders>
            <w:shd w:val="clear" w:color="auto" w:fill="auto"/>
            <w:noWrap/>
            <w:vAlign w:val="bottom"/>
            <w:hideMark/>
          </w:tcPr>
          <w:p w:rsidR="006F2B2F" w:rsidRPr="006F2B2F" w:rsidRDefault="006F2B2F" w:rsidP="006F2B2F">
            <w:pPr>
              <w:jc w:val="right"/>
              <w:rPr>
                <w:rFonts w:ascii="Arial" w:hAnsi="Arial" w:cs="Arial"/>
                <w:color w:val="000000"/>
                <w:sz w:val="20"/>
                <w:szCs w:val="20"/>
              </w:rPr>
            </w:pPr>
            <w:r w:rsidRPr="006F2B2F">
              <w:rPr>
                <w:rFonts w:ascii="Arial" w:hAnsi="Arial" w:cs="Arial"/>
                <w:color w:val="000000"/>
                <w:sz w:val="20"/>
                <w:szCs w:val="20"/>
              </w:rPr>
              <w:t xml:space="preserve">       1,462 </w:t>
            </w:r>
          </w:p>
        </w:tc>
        <w:tc>
          <w:tcPr>
            <w:tcW w:w="236" w:type="dxa"/>
            <w:tcBorders>
              <w:top w:val="nil"/>
              <w:left w:val="nil"/>
              <w:bottom w:val="nil"/>
              <w:right w:val="nil"/>
            </w:tcBorders>
            <w:shd w:val="clear" w:color="auto" w:fill="auto"/>
            <w:noWrap/>
            <w:vAlign w:val="bottom"/>
            <w:hideMark/>
          </w:tcPr>
          <w:p w:rsidR="006F2B2F" w:rsidRPr="006F2B2F" w:rsidRDefault="006F2B2F" w:rsidP="006F2B2F">
            <w:pPr>
              <w:jc w:val="right"/>
              <w:rPr>
                <w:rFonts w:ascii="Arial" w:hAnsi="Arial" w:cs="Arial"/>
                <w:color w:val="000000"/>
                <w:sz w:val="20"/>
                <w:szCs w:val="20"/>
              </w:rPr>
            </w:pPr>
            <w:r w:rsidRPr="006F2B2F">
              <w:rPr>
                <w:rFonts w:ascii="Arial" w:hAnsi="Arial" w:cs="Arial"/>
                <w:color w:val="000000"/>
                <w:sz w:val="20"/>
                <w:szCs w:val="20"/>
              </w:rPr>
              <w:t xml:space="preserve">         7,632 </w:t>
            </w:r>
          </w:p>
        </w:tc>
      </w:tr>
      <w:tr w:rsidR="006F2B2F" w:rsidRPr="006F2B2F" w:rsidTr="006F2B2F">
        <w:trPr>
          <w:trHeight w:val="255"/>
        </w:trPr>
        <w:tc>
          <w:tcPr>
            <w:tcW w:w="0" w:type="auto"/>
            <w:tcBorders>
              <w:top w:val="nil"/>
              <w:left w:val="nil"/>
              <w:bottom w:val="nil"/>
              <w:right w:val="nil"/>
            </w:tcBorders>
            <w:shd w:val="clear" w:color="D8D8D8" w:fill="D8D8D8"/>
            <w:noWrap/>
            <w:vAlign w:val="bottom"/>
            <w:hideMark/>
          </w:tcPr>
          <w:p w:rsidR="006F2B2F" w:rsidRPr="006F2B2F" w:rsidRDefault="006F2B2F" w:rsidP="006F2B2F">
            <w:pPr>
              <w:rPr>
                <w:rFonts w:ascii="Arial" w:hAnsi="Arial" w:cs="Arial"/>
                <w:color w:val="000000"/>
                <w:sz w:val="20"/>
                <w:szCs w:val="20"/>
              </w:rPr>
            </w:pPr>
            <w:r w:rsidRPr="006F2B2F">
              <w:rPr>
                <w:rFonts w:ascii="Arial" w:hAnsi="Arial" w:cs="Arial"/>
                <w:color w:val="000000"/>
                <w:sz w:val="20"/>
                <w:szCs w:val="20"/>
              </w:rPr>
              <w:t>Goats</w:t>
            </w:r>
          </w:p>
        </w:tc>
        <w:tc>
          <w:tcPr>
            <w:tcW w:w="236" w:type="dxa"/>
            <w:tcBorders>
              <w:top w:val="nil"/>
              <w:left w:val="nil"/>
              <w:bottom w:val="nil"/>
              <w:right w:val="nil"/>
            </w:tcBorders>
            <w:shd w:val="clear" w:color="D8D8D8" w:fill="D8D8D8"/>
            <w:noWrap/>
            <w:vAlign w:val="bottom"/>
            <w:hideMark/>
          </w:tcPr>
          <w:p w:rsidR="006F2B2F" w:rsidRPr="006F2B2F" w:rsidRDefault="006F2B2F" w:rsidP="006F2B2F">
            <w:pPr>
              <w:jc w:val="right"/>
              <w:rPr>
                <w:rFonts w:ascii="Arial" w:hAnsi="Arial" w:cs="Arial"/>
                <w:color w:val="000000"/>
                <w:sz w:val="20"/>
                <w:szCs w:val="20"/>
              </w:rPr>
            </w:pPr>
            <w:r w:rsidRPr="006F2B2F">
              <w:rPr>
                <w:rFonts w:ascii="Arial" w:hAnsi="Arial" w:cs="Arial"/>
                <w:color w:val="000000"/>
                <w:sz w:val="20"/>
                <w:szCs w:val="20"/>
              </w:rPr>
              <w:t xml:space="preserve">            1 </w:t>
            </w:r>
          </w:p>
        </w:tc>
        <w:tc>
          <w:tcPr>
            <w:tcW w:w="236" w:type="dxa"/>
            <w:tcBorders>
              <w:top w:val="nil"/>
              <w:left w:val="nil"/>
              <w:bottom w:val="nil"/>
              <w:right w:val="nil"/>
            </w:tcBorders>
            <w:shd w:val="clear" w:color="D8D8D8" w:fill="D8D8D8"/>
            <w:noWrap/>
            <w:vAlign w:val="bottom"/>
            <w:hideMark/>
          </w:tcPr>
          <w:p w:rsidR="006F2B2F" w:rsidRPr="006F2B2F" w:rsidRDefault="006F2B2F" w:rsidP="006F2B2F">
            <w:pPr>
              <w:jc w:val="right"/>
              <w:rPr>
                <w:rFonts w:ascii="Arial" w:hAnsi="Arial" w:cs="Arial"/>
                <w:color w:val="000000"/>
                <w:sz w:val="20"/>
                <w:szCs w:val="20"/>
              </w:rPr>
            </w:pPr>
            <w:r w:rsidRPr="006F2B2F">
              <w:rPr>
                <w:rFonts w:ascii="Arial" w:hAnsi="Arial" w:cs="Arial"/>
                <w:color w:val="000000"/>
                <w:sz w:val="20"/>
                <w:szCs w:val="20"/>
              </w:rPr>
              <w:t xml:space="preserve">            1 </w:t>
            </w:r>
          </w:p>
        </w:tc>
        <w:tc>
          <w:tcPr>
            <w:tcW w:w="236" w:type="dxa"/>
            <w:tcBorders>
              <w:top w:val="nil"/>
              <w:left w:val="nil"/>
              <w:bottom w:val="nil"/>
              <w:right w:val="nil"/>
            </w:tcBorders>
            <w:shd w:val="clear" w:color="D8D8D8" w:fill="D8D8D8"/>
            <w:noWrap/>
            <w:vAlign w:val="bottom"/>
            <w:hideMark/>
          </w:tcPr>
          <w:p w:rsidR="006F2B2F" w:rsidRPr="006F2B2F" w:rsidRDefault="006F2B2F" w:rsidP="006F2B2F">
            <w:pPr>
              <w:jc w:val="right"/>
              <w:rPr>
                <w:rFonts w:ascii="Arial" w:hAnsi="Arial" w:cs="Arial"/>
                <w:color w:val="000000"/>
                <w:sz w:val="20"/>
                <w:szCs w:val="20"/>
              </w:rPr>
            </w:pPr>
            <w:r w:rsidRPr="006F2B2F">
              <w:rPr>
                <w:rFonts w:ascii="Arial" w:hAnsi="Arial" w:cs="Arial"/>
                <w:color w:val="000000"/>
                <w:sz w:val="20"/>
                <w:szCs w:val="20"/>
              </w:rPr>
              <w:t xml:space="preserve">            1 </w:t>
            </w:r>
          </w:p>
        </w:tc>
        <w:tc>
          <w:tcPr>
            <w:tcW w:w="236" w:type="dxa"/>
            <w:tcBorders>
              <w:top w:val="nil"/>
              <w:left w:val="nil"/>
              <w:bottom w:val="nil"/>
              <w:right w:val="nil"/>
            </w:tcBorders>
            <w:shd w:val="clear" w:color="D8D8D8" w:fill="D8D8D8"/>
            <w:noWrap/>
            <w:vAlign w:val="bottom"/>
            <w:hideMark/>
          </w:tcPr>
          <w:p w:rsidR="006F2B2F" w:rsidRPr="006F2B2F" w:rsidRDefault="006F2B2F" w:rsidP="006F2B2F">
            <w:pPr>
              <w:jc w:val="right"/>
              <w:rPr>
                <w:rFonts w:ascii="Arial" w:hAnsi="Arial" w:cs="Arial"/>
                <w:color w:val="000000"/>
                <w:sz w:val="20"/>
                <w:szCs w:val="20"/>
              </w:rPr>
            </w:pPr>
            <w:r w:rsidRPr="006F2B2F">
              <w:rPr>
                <w:rFonts w:ascii="Arial" w:hAnsi="Arial" w:cs="Arial"/>
                <w:color w:val="000000"/>
                <w:sz w:val="20"/>
                <w:szCs w:val="20"/>
              </w:rPr>
              <w:t xml:space="preserve">         120 </w:t>
            </w:r>
          </w:p>
        </w:tc>
        <w:tc>
          <w:tcPr>
            <w:tcW w:w="236" w:type="dxa"/>
            <w:tcBorders>
              <w:top w:val="nil"/>
              <w:left w:val="nil"/>
              <w:bottom w:val="nil"/>
              <w:right w:val="nil"/>
            </w:tcBorders>
            <w:shd w:val="clear" w:color="D8D8D8" w:fill="D8D8D8"/>
            <w:noWrap/>
            <w:vAlign w:val="bottom"/>
            <w:hideMark/>
          </w:tcPr>
          <w:p w:rsidR="006F2B2F" w:rsidRPr="006F2B2F" w:rsidRDefault="006F2B2F" w:rsidP="006F2B2F">
            <w:pPr>
              <w:jc w:val="right"/>
              <w:rPr>
                <w:rFonts w:ascii="Arial" w:hAnsi="Arial" w:cs="Arial"/>
                <w:color w:val="000000"/>
                <w:sz w:val="20"/>
                <w:szCs w:val="20"/>
              </w:rPr>
            </w:pPr>
            <w:r w:rsidRPr="006F2B2F">
              <w:rPr>
                <w:rFonts w:ascii="Arial" w:hAnsi="Arial" w:cs="Arial"/>
                <w:color w:val="000000"/>
                <w:sz w:val="20"/>
                <w:szCs w:val="20"/>
              </w:rPr>
              <w:t xml:space="preserve">          166 </w:t>
            </w:r>
          </w:p>
        </w:tc>
        <w:tc>
          <w:tcPr>
            <w:tcW w:w="236" w:type="dxa"/>
            <w:tcBorders>
              <w:top w:val="nil"/>
              <w:left w:val="nil"/>
              <w:bottom w:val="nil"/>
              <w:right w:val="nil"/>
            </w:tcBorders>
            <w:shd w:val="clear" w:color="D8D8D8" w:fill="D8D8D8"/>
            <w:noWrap/>
            <w:vAlign w:val="bottom"/>
            <w:hideMark/>
          </w:tcPr>
          <w:p w:rsidR="006F2B2F" w:rsidRPr="006F2B2F" w:rsidRDefault="006F2B2F" w:rsidP="006F2B2F">
            <w:pPr>
              <w:jc w:val="right"/>
              <w:rPr>
                <w:rFonts w:ascii="Arial" w:hAnsi="Arial" w:cs="Arial"/>
                <w:color w:val="000000"/>
                <w:sz w:val="20"/>
                <w:szCs w:val="20"/>
              </w:rPr>
            </w:pPr>
            <w:r w:rsidRPr="006F2B2F">
              <w:rPr>
                <w:rFonts w:ascii="Arial" w:hAnsi="Arial" w:cs="Arial"/>
                <w:color w:val="000000"/>
                <w:sz w:val="20"/>
                <w:szCs w:val="20"/>
              </w:rPr>
              <w:t xml:space="preserve">          265 </w:t>
            </w:r>
          </w:p>
        </w:tc>
        <w:tc>
          <w:tcPr>
            <w:tcW w:w="236" w:type="dxa"/>
            <w:tcBorders>
              <w:top w:val="nil"/>
              <w:left w:val="nil"/>
              <w:bottom w:val="nil"/>
              <w:right w:val="nil"/>
            </w:tcBorders>
            <w:shd w:val="clear" w:color="D8D8D8" w:fill="D8D8D8"/>
            <w:noWrap/>
            <w:vAlign w:val="bottom"/>
            <w:hideMark/>
          </w:tcPr>
          <w:p w:rsidR="006F2B2F" w:rsidRPr="006F2B2F" w:rsidRDefault="006F2B2F" w:rsidP="006F2B2F">
            <w:pPr>
              <w:jc w:val="right"/>
              <w:rPr>
                <w:rFonts w:ascii="Arial" w:hAnsi="Arial" w:cs="Arial"/>
                <w:color w:val="000000"/>
                <w:sz w:val="20"/>
                <w:szCs w:val="20"/>
              </w:rPr>
            </w:pPr>
            <w:r w:rsidRPr="006F2B2F">
              <w:rPr>
                <w:rFonts w:ascii="Arial" w:hAnsi="Arial" w:cs="Arial"/>
                <w:color w:val="000000"/>
                <w:sz w:val="20"/>
                <w:szCs w:val="20"/>
              </w:rPr>
              <w:t xml:space="preserve">            89 </w:t>
            </w:r>
          </w:p>
        </w:tc>
        <w:tc>
          <w:tcPr>
            <w:tcW w:w="236" w:type="dxa"/>
            <w:tcBorders>
              <w:top w:val="nil"/>
              <w:left w:val="nil"/>
              <w:bottom w:val="nil"/>
              <w:right w:val="nil"/>
            </w:tcBorders>
            <w:shd w:val="clear" w:color="D8D8D8" w:fill="D8D8D8"/>
            <w:noWrap/>
            <w:vAlign w:val="bottom"/>
            <w:hideMark/>
          </w:tcPr>
          <w:p w:rsidR="006F2B2F" w:rsidRPr="006F2B2F" w:rsidRDefault="006F2B2F" w:rsidP="006F2B2F">
            <w:pPr>
              <w:jc w:val="right"/>
              <w:rPr>
                <w:rFonts w:ascii="Arial" w:hAnsi="Arial" w:cs="Arial"/>
                <w:color w:val="000000"/>
                <w:sz w:val="20"/>
                <w:szCs w:val="20"/>
              </w:rPr>
            </w:pPr>
            <w:r w:rsidRPr="006F2B2F">
              <w:rPr>
                <w:rFonts w:ascii="Arial" w:hAnsi="Arial" w:cs="Arial"/>
                <w:color w:val="000000"/>
                <w:sz w:val="20"/>
                <w:szCs w:val="20"/>
              </w:rPr>
              <w:t xml:space="preserve">          78 </w:t>
            </w:r>
          </w:p>
        </w:tc>
        <w:tc>
          <w:tcPr>
            <w:tcW w:w="236" w:type="dxa"/>
            <w:tcBorders>
              <w:top w:val="nil"/>
              <w:left w:val="nil"/>
              <w:bottom w:val="nil"/>
              <w:right w:val="nil"/>
            </w:tcBorders>
            <w:shd w:val="clear" w:color="D8D8D8" w:fill="D8D8D8"/>
            <w:noWrap/>
            <w:vAlign w:val="bottom"/>
            <w:hideMark/>
          </w:tcPr>
          <w:p w:rsidR="006F2B2F" w:rsidRPr="006F2B2F" w:rsidRDefault="006F2B2F" w:rsidP="006F2B2F">
            <w:pPr>
              <w:jc w:val="right"/>
              <w:rPr>
                <w:rFonts w:ascii="Arial" w:hAnsi="Arial" w:cs="Arial"/>
                <w:color w:val="000000"/>
                <w:sz w:val="20"/>
                <w:szCs w:val="20"/>
              </w:rPr>
            </w:pPr>
            <w:r w:rsidRPr="006F2B2F">
              <w:rPr>
                <w:rFonts w:ascii="Arial" w:hAnsi="Arial" w:cs="Arial"/>
                <w:color w:val="000000"/>
                <w:sz w:val="20"/>
                <w:szCs w:val="20"/>
              </w:rPr>
              <w:t xml:space="preserve">            80 </w:t>
            </w:r>
          </w:p>
        </w:tc>
        <w:tc>
          <w:tcPr>
            <w:tcW w:w="236" w:type="dxa"/>
            <w:tcBorders>
              <w:top w:val="nil"/>
              <w:left w:val="nil"/>
              <w:bottom w:val="nil"/>
              <w:right w:val="nil"/>
            </w:tcBorders>
            <w:shd w:val="clear" w:color="D8D8D8" w:fill="D8D8D8"/>
            <w:noWrap/>
            <w:vAlign w:val="bottom"/>
            <w:hideMark/>
          </w:tcPr>
          <w:p w:rsidR="006F2B2F" w:rsidRPr="006F2B2F" w:rsidRDefault="006F2B2F" w:rsidP="006F2B2F">
            <w:pPr>
              <w:jc w:val="right"/>
              <w:rPr>
                <w:rFonts w:ascii="Arial" w:hAnsi="Arial" w:cs="Arial"/>
                <w:color w:val="000000"/>
                <w:sz w:val="20"/>
                <w:szCs w:val="20"/>
              </w:rPr>
            </w:pPr>
            <w:r w:rsidRPr="006F2B2F">
              <w:rPr>
                <w:rFonts w:ascii="Arial" w:hAnsi="Arial" w:cs="Arial"/>
                <w:color w:val="000000"/>
                <w:sz w:val="20"/>
                <w:szCs w:val="20"/>
              </w:rPr>
              <w:t xml:space="preserve">          145 </w:t>
            </w:r>
          </w:p>
        </w:tc>
        <w:tc>
          <w:tcPr>
            <w:tcW w:w="236" w:type="dxa"/>
            <w:tcBorders>
              <w:top w:val="nil"/>
              <w:left w:val="nil"/>
              <w:bottom w:val="nil"/>
              <w:right w:val="nil"/>
            </w:tcBorders>
            <w:shd w:val="clear" w:color="D8D8D8" w:fill="D8D8D8"/>
            <w:noWrap/>
            <w:vAlign w:val="bottom"/>
            <w:hideMark/>
          </w:tcPr>
          <w:p w:rsidR="006F2B2F" w:rsidRPr="006F2B2F" w:rsidRDefault="006F2B2F" w:rsidP="006F2B2F">
            <w:pPr>
              <w:jc w:val="right"/>
              <w:rPr>
                <w:rFonts w:ascii="Arial" w:hAnsi="Arial" w:cs="Arial"/>
                <w:color w:val="000000"/>
                <w:sz w:val="20"/>
                <w:szCs w:val="20"/>
              </w:rPr>
            </w:pPr>
            <w:r w:rsidRPr="006F2B2F">
              <w:rPr>
                <w:rFonts w:ascii="Arial" w:hAnsi="Arial" w:cs="Arial"/>
                <w:color w:val="000000"/>
                <w:sz w:val="20"/>
                <w:szCs w:val="20"/>
              </w:rPr>
              <w:t xml:space="preserve">          225 </w:t>
            </w:r>
          </w:p>
        </w:tc>
        <w:tc>
          <w:tcPr>
            <w:tcW w:w="236" w:type="dxa"/>
            <w:tcBorders>
              <w:top w:val="nil"/>
              <w:left w:val="nil"/>
              <w:bottom w:val="nil"/>
              <w:right w:val="nil"/>
            </w:tcBorders>
            <w:shd w:val="clear" w:color="D8D8D8" w:fill="D8D8D8"/>
            <w:noWrap/>
            <w:vAlign w:val="bottom"/>
            <w:hideMark/>
          </w:tcPr>
          <w:p w:rsidR="006F2B2F" w:rsidRPr="006F2B2F" w:rsidRDefault="006F2B2F" w:rsidP="006F2B2F">
            <w:pPr>
              <w:jc w:val="right"/>
              <w:rPr>
                <w:rFonts w:ascii="Arial" w:hAnsi="Arial" w:cs="Arial"/>
                <w:color w:val="000000"/>
                <w:sz w:val="20"/>
                <w:szCs w:val="20"/>
              </w:rPr>
            </w:pPr>
            <w:r w:rsidRPr="006F2B2F">
              <w:rPr>
                <w:rFonts w:ascii="Arial" w:hAnsi="Arial" w:cs="Arial"/>
                <w:color w:val="000000"/>
                <w:sz w:val="20"/>
                <w:szCs w:val="20"/>
              </w:rPr>
              <w:t xml:space="preserve">            50 </w:t>
            </w:r>
          </w:p>
        </w:tc>
        <w:tc>
          <w:tcPr>
            <w:tcW w:w="236" w:type="dxa"/>
            <w:tcBorders>
              <w:top w:val="nil"/>
              <w:left w:val="nil"/>
              <w:bottom w:val="nil"/>
              <w:right w:val="nil"/>
            </w:tcBorders>
            <w:shd w:val="clear" w:color="D8D8D8" w:fill="D8D8D8"/>
            <w:noWrap/>
            <w:vAlign w:val="bottom"/>
            <w:hideMark/>
          </w:tcPr>
          <w:p w:rsidR="006F2B2F" w:rsidRPr="006F2B2F" w:rsidRDefault="006F2B2F" w:rsidP="006F2B2F">
            <w:pPr>
              <w:jc w:val="right"/>
              <w:rPr>
                <w:rFonts w:ascii="Arial" w:hAnsi="Arial" w:cs="Arial"/>
                <w:color w:val="000000"/>
                <w:sz w:val="20"/>
                <w:szCs w:val="20"/>
              </w:rPr>
            </w:pPr>
            <w:r w:rsidRPr="006F2B2F">
              <w:rPr>
                <w:rFonts w:ascii="Arial" w:hAnsi="Arial" w:cs="Arial"/>
                <w:color w:val="000000"/>
                <w:sz w:val="20"/>
                <w:szCs w:val="20"/>
              </w:rPr>
              <w:t xml:space="preserve">         1,221 </w:t>
            </w:r>
          </w:p>
        </w:tc>
      </w:tr>
      <w:tr w:rsidR="006F2B2F" w:rsidRPr="006F2B2F" w:rsidTr="006F2B2F">
        <w:trPr>
          <w:trHeight w:val="255"/>
        </w:trPr>
        <w:tc>
          <w:tcPr>
            <w:tcW w:w="0" w:type="auto"/>
            <w:tcBorders>
              <w:top w:val="nil"/>
              <w:left w:val="nil"/>
              <w:bottom w:val="single" w:sz="4" w:space="0" w:color="000000"/>
              <w:right w:val="nil"/>
            </w:tcBorders>
            <w:shd w:val="clear" w:color="auto" w:fill="auto"/>
            <w:noWrap/>
            <w:vAlign w:val="bottom"/>
            <w:hideMark/>
          </w:tcPr>
          <w:p w:rsidR="006F2B2F" w:rsidRPr="006F2B2F" w:rsidRDefault="006F2B2F" w:rsidP="006F2B2F">
            <w:pPr>
              <w:rPr>
                <w:rFonts w:ascii="Arial" w:hAnsi="Arial" w:cs="Arial"/>
                <w:color w:val="000000"/>
                <w:sz w:val="20"/>
                <w:szCs w:val="20"/>
              </w:rPr>
            </w:pPr>
            <w:r w:rsidRPr="006F2B2F">
              <w:rPr>
                <w:rFonts w:ascii="Arial" w:hAnsi="Arial" w:cs="Arial"/>
                <w:color w:val="000000"/>
                <w:sz w:val="20"/>
                <w:szCs w:val="20"/>
              </w:rPr>
              <w:t>Hogs</w:t>
            </w:r>
          </w:p>
        </w:tc>
        <w:tc>
          <w:tcPr>
            <w:tcW w:w="236" w:type="dxa"/>
            <w:tcBorders>
              <w:top w:val="nil"/>
              <w:left w:val="nil"/>
              <w:bottom w:val="single" w:sz="4" w:space="0" w:color="000000"/>
              <w:right w:val="nil"/>
            </w:tcBorders>
            <w:shd w:val="clear" w:color="auto" w:fill="auto"/>
            <w:noWrap/>
            <w:vAlign w:val="bottom"/>
            <w:hideMark/>
          </w:tcPr>
          <w:p w:rsidR="006F2B2F" w:rsidRPr="006F2B2F" w:rsidRDefault="006F2B2F" w:rsidP="006F2B2F">
            <w:pPr>
              <w:jc w:val="right"/>
              <w:rPr>
                <w:rFonts w:ascii="Arial" w:hAnsi="Arial" w:cs="Arial"/>
                <w:color w:val="000000"/>
                <w:sz w:val="20"/>
                <w:szCs w:val="20"/>
              </w:rPr>
            </w:pPr>
            <w:r w:rsidRPr="006F2B2F">
              <w:rPr>
                <w:rFonts w:ascii="Arial" w:hAnsi="Arial" w:cs="Arial"/>
                <w:color w:val="000000"/>
                <w:sz w:val="20"/>
                <w:szCs w:val="20"/>
              </w:rPr>
              <w:t xml:space="preserve">         150 </w:t>
            </w:r>
          </w:p>
        </w:tc>
        <w:tc>
          <w:tcPr>
            <w:tcW w:w="236" w:type="dxa"/>
            <w:tcBorders>
              <w:top w:val="nil"/>
              <w:left w:val="nil"/>
              <w:bottom w:val="single" w:sz="4" w:space="0" w:color="000000"/>
              <w:right w:val="nil"/>
            </w:tcBorders>
            <w:shd w:val="clear" w:color="auto" w:fill="auto"/>
            <w:noWrap/>
            <w:vAlign w:val="bottom"/>
            <w:hideMark/>
          </w:tcPr>
          <w:p w:rsidR="006F2B2F" w:rsidRPr="006F2B2F" w:rsidRDefault="006F2B2F" w:rsidP="006F2B2F">
            <w:pPr>
              <w:jc w:val="right"/>
              <w:rPr>
                <w:rFonts w:ascii="Arial" w:hAnsi="Arial" w:cs="Arial"/>
                <w:color w:val="000000"/>
                <w:sz w:val="20"/>
                <w:szCs w:val="20"/>
              </w:rPr>
            </w:pPr>
            <w:r w:rsidRPr="006F2B2F">
              <w:rPr>
                <w:rFonts w:ascii="Arial" w:hAnsi="Arial" w:cs="Arial"/>
                <w:color w:val="000000"/>
                <w:sz w:val="20"/>
                <w:szCs w:val="20"/>
              </w:rPr>
              <w:t xml:space="preserve">         150 </w:t>
            </w:r>
          </w:p>
        </w:tc>
        <w:tc>
          <w:tcPr>
            <w:tcW w:w="236" w:type="dxa"/>
            <w:tcBorders>
              <w:top w:val="nil"/>
              <w:left w:val="nil"/>
              <w:bottom w:val="single" w:sz="4" w:space="0" w:color="000000"/>
              <w:right w:val="nil"/>
            </w:tcBorders>
            <w:shd w:val="clear" w:color="auto" w:fill="auto"/>
            <w:noWrap/>
            <w:vAlign w:val="bottom"/>
            <w:hideMark/>
          </w:tcPr>
          <w:p w:rsidR="006F2B2F" w:rsidRPr="006F2B2F" w:rsidRDefault="006F2B2F" w:rsidP="006F2B2F">
            <w:pPr>
              <w:jc w:val="right"/>
              <w:rPr>
                <w:rFonts w:ascii="Arial" w:hAnsi="Arial" w:cs="Arial"/>
                <w:color w:val="000000"/>
                <w:sz w:val="20"/>
                <w:szCs w:val="20"/>
              </w:rPr>
            </w:pPr>
            <w:r w:rsidRPr="006F2B2F">
              <w:rPr>
                <w:rFonts w:ascii="Arial" w:hAnsi="Arial" w:cs="Arial"/>
                <w:color w:val="000000"/>
                <w:sz w:val="20"/>
                <w:szCs w:val="20"/>
              </w:rPr>
              <w:t xml:space="preserve">         153 </w:t>
            </w:r>
          </w:p>
        </w:tc>
        <w:tc>
          <w:tcPr>
            <w:tcW w:w="236" w:type="dxa"/>
            <w:tcBorders>
              <w:top w:val="nil"/>
              <w:left w:val="nil"/>
              <w:bottom w:val="single" w:sz="4" w:space="0" w:color="000000"/>
              <w:right w:val="nil"/>
            </w:tcBorders>
            <w:shd w:val="clear" w:color="auto" w:fill="auto"/>
            <w:noWrap/>
            <w:vAlign w:val="bottom"/>
            <w:hideMark/>
          </w:tcPr>
          <w:p w:rsidR="006F2B2F" w:rsidRPr="006F2B2F" w:rsidRDefault="006F2B2F" w:rsidP="006F2B2F">
            <w:pPr>
              <w:jc w:val="right"/>
              <w:rPr>
                <w:rFonts w:ascii="Arial" w:hAnsi="Arial" w:cs="Arial"/>
                <w:color w:val="000000"/>
                <w:sz w:val="20"/>
                <w:szCs w:val="20"/>
              </w:rPr>
            </w:pPr>
            <w:r w:rsidRPr="006F2B2F">
              <w:rPr>
                <w:rFonts w:ascii="Arial" w:hAnsi="Arial" w:cs="Arial"/>
                <w:color w:val="000000"/>
                <w:sz w:val="20"/>
                <w:szCs w:val="20"/>
              </w:rPr>
              <w:t xml:space="preserve">         150 </w:t>
            </w:r>
          </w:p>
        </w:tc>
        <w:tc>
          <w:tcPr>
            <w:tcW w:w="236" w:type="dxa"/>
            <w:tcBorders>
              <w:top w:val="nil"/>
              <w:left w:val="nil"/>
              <w:bottom w:val="single" w:sz="4" w:space="0" w:color="000000"/>
              <w:right w:val="nil"/>
            </w:tcBorders>
            <w:shd w:val="clear" w:color="auto" w:fill="auto"/>
            <w:noWrap/>
            <w:vAlign w:val="bottom"/>
            <w:hideMark/>
          </w:tcPr>
          <w:p w:rsidR="006F2B2F" w:rsidRPr="006F2B2F" w:rsidRDefault="006F2B2F" w:rsidP="006F2B2F">
            <w:pPr>
              <w:jc w:val="right"/>
              <w:rPr>
                <w:rFonts w:ascii="Arial" w:hAnsi="Arial" w:cs="Arial"/>
                <w:color w:val="000000"/>
                <w:sz w:val="20"/>
                <w:szCs w:val="20"/>
              </w:rPr>
            </w:pPr>
            <w:r w:rsidRPr="006F2B2F">
              <w:rPr>
                <w:rFonts w:ascii="Arial" w:hAnsi="Arial" w:cs="Arial"/>
                <w:color w:val="000000"/>
                <w:sz w:val="20"/>
                <w:szCs w:val="20"/>
              </w:rPr>
              <w:t xml:space="preserve">          176 </w:t>
            </w:r>
          </w:p>
        </w:tc>
        <w:tc>
          <w:tcPr>
            <w:tcW w:w="236" w:type="dxa"/>
            <w:tcBorders>
              <w:top w:val="nil"/>
              <w:left w:val="nil"/>
              <w:bottom w:val="single" w:sz="4" w:space="0" w:color="000000"/>
              <w:right w:val="nil"/>
            </w:tcBorders>
            <w:shd w:val="clear" w:color="auto" w:fill="auto"/>
            <w:noWrap/>
            <w:vAlign w:val="bottom"/>
            <w:hideMark/>
          </w:tcPr>
          <w:p w:rsidR="006F2B2F" w:rsidRPr="006F2B2F" w:rsidRDefault="006F2B2F" w:rsidP="006F2B2F">
            <w:pPr>
              <w:jc w:val="right"/>
              <w:rPr>
                <w:rFonts w:ascii="Arial" w:hAnsi="Arial" w:cs="Arial"/>
                <w:color w:val="000000"/>
                <w:sz w:val="20"/>
                <w:szCs w:val="20"/>
              </w:rPr>
            </w:pPr>
            <w:r w:rsidRPr="006F2B2F">
              <w:rPr>
                <w:rFonts w:ascii="Arial" w:hAnsi="Arial" w:cs="Arial"/>
                <w:color w:val="000000"/>
                <w:sz w:val="20"/>
                <w:szCs w:val="20"/>
              </w:rPr>
              <w:t xml:space="preserve">          153 </w:t>
            </w:r>
          </w:p>
        </w:tc>
        <w:tc>
          <w:tcPr>
            <w:tcW w:w="236" w:type="dxa"/>
            <w:tcBorders>
              <w:top w:val="nil"/>
              <w:left w:val="nil"/>
              <w:bottom w:val="single" w:sz="4" w:space="0" w:color="000000"/>
              <w:right w:val="nil"/>
            </w:tcBorders>
            <w:shd w:val="clear" w:color="auto" w:fill="auto"/>
            <w:noWrap/>
            <w:vAlign w:val="bottom"/>
            <w:hideMark/>
          </w:tcPr>
          <w:p w:rsidR="006F2B2F" w:rsidRPr="006F2B2F" w:rsidRDefault="006F2B2F" w:rsidP="006F2B2F">
            <w:pPr>
              <w:jc w:val="right"/>
              <w:rPr>
                <w:rFonts w:ascii="Arial" w:hAnsi="Arial" w:cs="Arial"/>
                <w:color w:val="000000"/>
                <w:sz w:val="20"/>
                <w:szCs w:val="20"/>
              </w:rPr>
            </w:pPr>
            <w:r w:rsidRPr="006F2B2F">
              <w:rPr>
                <w:rFonts w:ascii="Arial" w:hAnsi="Arial" w:cs="Arial"/>
                <w:color w:val="000000"/>
                <w:sz w:val="20"/>
                <w:szCs w:val="20"/>
              </w:rPr>
              <w:t xml:space="preserve">          152 </w:t>
            </w:r>
          </w:p>
        </w:tc>
        <w:tc>
          <w:tcPr>
            <w:tcW w:w="236" w:type="dxa"/>
            <w:tcBorders>
              <w:top w:val="nil"/>
              <w:left w:val="nil"/>
              <w:bottom w:val="single" w:sz="4" w:space="0" w:color="000000"/>
              <w:right w:val="nil"/>
            </w:tcBorders>
            <w:shd w:val="clear" w:color="auto" w:fill="auto"/>
            <w:noWrap/>
            <w:vAlign w:val="bottom"/>
            <w:hideMark/>
          </w:tcPr>
          <w:p w:rsidR="006F2B2F" w:rsidRPr="006F2B2F" w:rsidRDefault="006F2B2F" w:rsidP="006F2B2F">
            <w:pPr>
              <w:jc w:val="right"/>
              <w:rPr>
                <w:rFonts w:ascii="Arial" w:hAnsi="Arial" w:cs="Arial"/>
                <w:color w:val="000000"/>
                <w:sz w:val="20"/>
                <w:szCs w:val="20"/>
              </w:rPr>
            </w:pPr>
            <w:r w:rsidRPr="006F2B2F">
              <w:rPr>
                <w:rFonts w:ascii="Arial" w:hAnsi="Arial" w:cs="Arial"/>
                <w:color w:val="000000"/>
                <w:sz w:val="20"/>
                <w:szCs w:val="20"/>
              </w:rPr>
              <w:t xml:space="preserve">         174 </w:t>
            </w:r>
          </w:p>
        </w:tc>
        <w:tc>
          <w:tcPr>
            <w:tcW w:w="236" w:type="dxa"/>
            <w:tcBorders>
              <w:top w:val="nil"/>
              <w:left w:val="nil"/>
              <w:bottom w:val="single" w:sz="4" w:space="0" w:color="000000"/>
              <w:right w:val="nil"/>
            </w:tcBorders>
            <w:shd w:val="clear" w:color="auto" w:fill="auto"/>
            <w:noWrap/>
            <w:vAlign w:val="bottom"/>
            <w:hideMark/>
          </w:tcPr>
          <w:p w:rsidR="006F2B2F" w:rsidRPr="006F2B2F" w:rsidRDefault="006F2B2F" w:rsidP="006F2B2F">
            <w:pPr>
              <w:jc w:val="right"/>
              <w:rPr>
                <w:rFonts w:ascii="Arial" w:hAnsi="Arial" w:cs="Arial"/>
                <w:color w:val="000000"/>
                <w:sz w:val="20"/>
                <w:szCs w:val="20"/>
              </w:rPr>
            </w:pPr>
            <w:r w:rsidRPr="006F2B2F">
              <w:rPr>
                <w:rFonts w:ascii="Arial" w:hAnsi="Arial" w:cs="Arial"/>
                <w:color w:val="000000"/>
                <w:sz w:val="20"/>
                <w:szCs w:val="20"/>
              </w:rPr>
              <w:t xml:space="preserve">          150 </w:t>
            </w:r>
          </w:p>
        </w:tc>
        <w:tc>
          <w:tcPr>
            <w:tcW w:w="236" w:type="dxa"/>
            <w:tcBorders>
              <w:top w:val="nil"/>
              <w:left w:val="nil"/>
              <w:bottom w:val="single" w:sz="4" w:space="0" w:color="000000"/>
              <w:right w:val="nil"/>
            </w:tcBorders>
            <w:shd w:val="clear" w:color="auto" w:fill="auto"/>
            <w:noWrap/>
            <w:vAlign w:val="bottom"/>
            <w:hideMark/>
          </w:tcPr>
          <w:p w:rsidR="006F2B2F" w:rsidRPr="006F2B2F" w:rsidRDefault="006F2B2F" w:rsidP="006F2B2F">
            <w:pPr>
              <w:jc w:val="right"/>
              <w:rPr>
                <w:rFonts w:ascii="Arial" w:hAnsi="Arial" w:cs="Arial"/>
                <w:color w:val="000000"/>
                <w:sz w:val="20"/>
                <w:szCs w:val="20"/>
              </w:rPr>
            </w:pPr>
            <w:r w:rsidRPr="006F2B2F">
              <w:rPr>
                <w:rFonts w:ascii="Arial" w:hAnsi="Arial" w:cs="Arial"/>
                <w:color w:val="000000"/>
                <w:sz w:val="20"/>
                <w:szCs w:val="20"/>
              </w:rPr>
              <w:t xml:space="preserve">          154 </w:t>
            </w:r>
          </w:p>
        </w:tc>
        <w:tc>
          <w:tcPr>
            <w:tcW w:w="236" w:type="dxa"/>
            <w:tcBorders>
              <w:top w:val="nil"/>
              <w:left w:val="nil"/>
              <w:bottom w:val="single" w:sz="4" w:space="0" w:color="000000"/>
              <w:right w:val="nil"/>
            </w:tcBorders>
            <w:shd w:val="clear" w:color="auto" w:fill="auto"/>
            <w:noWrap/>
            <w:vAlign w:val="bottom"/>
            <w:hideMark/>
          </w:tcPr>
          <w:p w:rsidR="006F2B2F" w:rsidRPr="006F2B2F" w:rsidRDefault="006F2B2F" w:rsidP="006F2B2F">
            <w:pPr>
              <w:jc w:val="right"/>
              <w:rPr>
                <w:rFonts w:ascii="Arial" w:hAnsi="Arial" w:cs="Arial"/>
                <w:color w:val="000000"/>
                <w:sz w:val="20"/>
                <w:szCs w:val="20"/>
              </w:rPr>
            </w:pPr>
            <w:r w:rsidRPr="006F2B2F">
              <w:rPr>
                <w:rFonts w:ascii="Arial" w:hAnsi="Arial" w:cs="Arial"/>
                <w:color w:val="000000"/>
                <w:sz w:val="20"/>
                <w:szCs w:val="20"/>
              </w:rPr>
              <w:t xml:space="preserve">          220 </w:t>
            </w:r>
          </w:p>
        </w:tc>
        <w:tc>
          <w:tcPr>
            <w:tcW w:w="236" w:type="dxa"/>
            <w:tcBorders>
              <w:top w:val="nil"/>
              <w:left w:val="nil"/>
              <w:bottom w:val="single" w:sz="4" w:space="0" w:color="000000"/>
              <w:right w:val="nil"/>
            </w:tcBorders>
            <w:shd w:val="clear" w:color="auto" w:fill="auto"/>
            <w:noWrap/>
            <w:vAlign w:val="bottom"/>
            <w:hideMark/>
          </w:tcPr>
          <w:p w:rsidR="006F2B2F" w:rsidRPr="006F2B2F" w:rsidRDefault="006F2B2F" w:rsidP="006F2B2F">
            <w:pPr>
              <w:jc w:val="right"/>
              <w:rPr>
                <w:rFonts w:ascii="Arial" w:hAnsi="Arial" w:cs="Arial"/>
                <w:color w:val="000000"/>
                <w:sz w:val="20"/>
                <w:szCs w:val="20"/>
              </w:rPr>
            </w:pPr>
            <w:r w:rsidRPr="006F2B2F">
              <w:rPr>
                <w:rFonts w:ascii="Arial" w:hAnsi="Arial" w:cs="Arial"/>
                <w:color w:val="000000"/>
                <w:sz w:val="20"/>
                <w:szCs w:val="20"/>
              </w:rPr>
              <w:t xml:space="preserve">          203 </w:t>
            </w:r>
          </w:p>
        </w:tc>
        <w:tc>
          <w:tcPr>
            <w:tcW w:w="236" w:type="dxa"/>
            <w:tcBorders>
              <w:top w:val="nil"/>
              <w:left w:val="nil"/>
              <w:bottom w:val="single" w:sz="4" w:space="0" w:color="000000"/>
              <w:right w:val="nil"/>
            </w:tcBorders>
            <w:shd w:val="clear" w:color="auto" w:fill="auto"/>
            <w:noWrap/>
            <w:vAlign w:val="bottom"/>
            <w:hideMark/>
          </w:tcPr>
          <w:p w:rsidR="006F2B2F" w:rsidRPr="006F2B2F" w:rsidRDefault="006F2B2F" w:rsidP="006F2B2F">
            <w:pPr>
              <w:jc w:val="right"/>
              <w:rPr>
                <w:rFonts w:ascii="Arial" w:hAnsi="Arial" w:cs="Arial"/>
                <w:color w:val="000000"/>
                <w:sz w:val="20"/>
                <w:szCs w:val="20"/>
              </w:rPr>
            </w:pPr>
            <w:r w:rsidRPr="006F2B2F">
              <w:rPr>
                <w:rFonts w:ascii="Arial" w:hAnsi="Arial" w:cs="Arial"/>
                <w:color w:val="000000"/>
                <w:sz w:val="20"/>
                <w:szCs w:val="20"/>
              </w:rPr>
              <w:t xml:space="preserve">         1,985 </w:t>
            </w:r>
          </w:p>
        </w:tc>
      </w:tr>
    </w:tbl>
    <w:p w:rsidR="00CA2DB3" w:rsidRDefault="00CA2DB3"/>
    <w:p w:rsidR="006F2B2F" w:rsidRDefault="006F2B2F"/>
    <w:p w:rsidR="006F2B2F" w:rsidRDefault="006F2B2F"/>
    <w:p w:rsidR="006F2B2F" w:rsidRDefault="006F2B2F"/>
    <w:p w:rsidR="006F2B2F" w:rsidRDefault="00B42A53">
      <w:r>
        <w:t xml:space="preserve">Figure 8.  Graphical representation of Table 1 showing the </w:t>
      </w:r>
      <w:r w:rsidR="00374A64">
        <w:t xml:space="preserve">total </w:t>
      </w:r>
      <w:r w:rsidR="00566150">
        <w:t>number of animals</w:t>
      </w:r>
      <w:r w:rsidR="00E27E18">
        <w:t xml:space="preserve"> </w:t>
      </w:r>
      <w:r>
        <w:t>respondents would like to have processed in small-scale facilities.</w:t>
      </w:r>
    </w:p>
    <w:p w:rsidR="006F2B2F" w:rsidRDefault="00E27D2D">
      <w:r w:rsidRPr="00E27D2D">
        <w:rPr>
          <w:noProof/>
        </w:rPr>
        <w:drawing>
          <wp:inline distT="0" distB="0" distL="0" distR="0">
            <wp:extent cx="45720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sectPr w:rsidR="006F2B2F" w:rsidSect="00CA2DB3">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3BCB" w:rsidRDefault="00673BCB" w:rsidP="00A87C9E">
      <w:r>
        <w:separator/>
      </w:r>
    </w:p>
  </w:endnote>
  <w:endnote w:type="continuationSeparator" w:id="1">
    <w:p w:rsidR="00673BCB" w:rsidRDefault="00673BCB" w:rsidP="00A87C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65075"/>
      <w:docPartObj>
        <w:docPartGallery w:val="Page Numbers (Bottom of Page)"/>
        <w:docPartUnique/>
      </w:docPartObj>
    </w:sdtPr>
    <w:sdtEndPr>
      <w:rPr>
        <w:color w:val="7F7F7F" w:themeColor="background1" w:themeShade="7F"/>
        <w:spacing w:val="60"/>
      </w:rPr>
    </w:sdtEndPr>
    <w:sdtContent>
      <w:p w:rsidR="00E27E18" w:rsidRDefault="00C33512">
        <w:pPr>
          <w:pStyle w:val="Footer"/>
          <w:pBdr>
            <w:top w:val="single" w:sz="4" w:space="1" w:color="D9D9D9" w:themeColor="background1" w:themeShade="D9"/>
          </w:pBdr>
          <w:jc w:val="right"/>
        </w:pPr>
        <w:fldSimple w:instr=" PAGE   \* MERGEFORMAT ">
          <w:r w:rsidR="00566150">
            <w:rPr>
              <w:noProof/>
            </w:rPr>
            <w:t>1</w:t>
          </w:r>
        </w:fldSimple>
        <w:r w:rsidR="00E27E18">
          <w:t xml:space="preserve"> | </w:t>
        </w:r>
        <w:r w:rsidR="00E27E18">
          <w:rPr>
            <w:color w:val="7F7F7F" w:themeColor="background1" w:themeShade="7F"/>
            <w:spacing w:val="60"/>
          </w:rPr>
          <w:t>Page</w:t>
        </w:r>
      </w:p>
    </w:sdtContent>
  </w:sdt>
  <w:p w:rsidR="00E27E18" w:rsidRDefault="00E27E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3BCB" w:rsidRDefault="00673BCB" w:rsidP="00A87C9E">
      <w:r>
        <w:separator/>
      </w:r>
    </w:p>
  </w:footnote>
  <w:footnote w:type="continuationSeparator" w:id="1">
    <w:p w:rsidR="00673BCB" w:rsidRDefault="00673BCB" w:rsidP="00A87C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2D408D"/>
    <w:multiLevelType w:val="hybridMultilevel"/>
    <w:tmpl w:val="4F14167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6763A2"/>
    <w:rsid w:val="00005338"/>
    <w:rsid w:val="00056D71"/>
    <w:rsid w:val="00065C55"/>
    <w:rsid w:val="000867A9"/>
    <w:rsid w:val="00092657"/>
    <w:rsid w:val="000A02DB"/>
    <w:rsid w:val="000A7E84"/>
    <w:rsid w:val="000B2D65"/>
    <w:rsid w:val="000B7B10"/>
    <w:rsid w:val="00100E4D"/>
    <w:rsid w:val="0012194A"/>
    <w:rsid w:val="00123B36"/>
    <w:rsid w:val="00140388"/>
    <w:rsid w:val="00164F33"/>
    <w:rsid w:val="00174D80"/>
    <w:rsid w:val="0017736E"/>
    <w:rsid w:val="00182464"/>
    <w:rsid w:val="001956E6"/>
    <w:rsid w:val="001A5C33"/>
    <w:rsid w:val="001B5E58"/>
    <w:rsid w:val="001D2980"/>
    <w:rsid w:val="001D7880"/>
    <w:rsid w:val="001E356D"/>
    <w:rsid w:val="001F7482"/>
    <w:rsid w:val="00273F57"/>
    <w:rsid w:val="00281BE6"/>
    <w:rsid w:val="002B4FB2"/>
    <w:rsid w:val="00320134"/>
    <w:rsid w:val="003244A4"/>
    <w:rsid w:val="00374A64"/>
    <w:rsid w:val="0037526E"/>
    <w:rsid w:val="003B10A4"/>
    <w:rsid w:val="003D253F"/>
    <w:rsid w:val="003F2752"/>
    <w:rsid w:val="004477B6"/>
    <w:rsid w:val="00483471"/>
    <w:rsid w:val="00496F83"/>
    <w:rsid w:val="004A76B4"/>
    <w:rsid w:val="004E5A6F"/>
    <w:rsid w:val="004F1AD4"/>
    <w:rsid w:val="00503947"/>
    <w:rsid w:val="00566150"/>
    <w:rsid w:val="005C743C"/>
    <w:rsid w:val="005E16CC"/>
    <w:rsid w:val="005E71A8"/>
    <w:rsid w:val="00647E28"/>
    <w:rsid w:val="00673BCB"/>
    <w:rsid w:val="006763A2"/>
    <w:rsid w:val="00686931"/>
    <w:rsid w:val="006B154B"/>
    <w:rsid w:val="006C126A"/>
    <w:rsid w:val="006C5064"/>
    <w:rsid w:val="006F2B2F"/>
    <w:rsid w:val="006F34E7"/>
    <w:rsid w:val="0073236F"/>
    <w:rsid w:val="00757AEC"/>
    <w:rsid w:val="00793C44"/>
    <w:rsid w:val="007C423B"/>
    <w:rsid w:val="007E02F7"/>
    <w:rsid w:val="0083517D"/>
    <w:rsid w:val="00843B7B"/>
    <w:rsid w:val="00844D13"/>
    <w:rsid w:val="00867F2B"/>
    <w:rsid w:val="00876541"/>
    <w:rsid w:val="0089279F"/>
    <w:rsid w:val="008B6790"/>
    <w:rsid w:val="008E70EC"/>
    <w:rsid w:val="009404B6"/>
    <w:rsid w:val="009B58B2"/>
    <w:rsid w:val="009C12C9"/>
    <w:rsid w:val="009D27C5"/>
    <w:rsid w:val="009D7C5D"/>
    <w:rsid w:val="00A72B41"/>
    <w:rsid w:val="00A87C9E"/>
    <w:rsid w:val="00AB3910"/>
    <w:rsid w:val="00AF1D86"/>
    <w:rsid w:val="00AF7FD1"/>
    <w:rsid w:val="00B22C32"/>
    <w:rsid w:val="00B26CAB"/>
    <w:rsid w:val="00B323C8"/>
    <w:rsid w:val="00B42485"/>
    <w:rsid w:val="00B42A53"/>
    <w:rsid w:val="00BC3BD4"/>
    <w:rsid w:val="00BD34B3"/>
    <w:rsid w:val="00BE5B57"/>
    <w:rsid w:val="00BF15C8"/>
    <w:rsid w:val="00C04F6A"/>
    <w:rsid w:val="00C07F48"/>
    <w:rsid w:val="00C33512"/>
    <w:rsid w:val="00C71322"/>
    <w:rsid w:val="00C76F26"/>
    <w:rsid w:val="00CA2DB3"/>
    <w:rsid w:val="00CB1622"/>
    <w:rsid w:val="00CB3015"/>
    <w:rsid w:val="00CD4D3F"/>
    <w:rsid w:val="00D148CD"/>
    <w:rsid w:val="00D41BBE"/>
    <w:rsid w:val="00D42020"/>
    <w:rsid w:val="00D53E69"/>
    <w:rsid w:val="00D639FD"/>
    <w:rsid w:val="00DA4DC5"/>
    <w:rsid w:val="00DA5BE2"/>
    <w:rsid w:val="00DD648A"/>
    <w:rsid w:val="00E06B01"/>
    <w:rsid w:val="00E27D2D"/>
    <w:rsid w:val="00E27E18"/>
    <w:rsid w:val="00E31314"/>
    <w:rsid w:val="00E357D5"/>
    <w:rsid w:val="00E87F7A"/>
    <w:rsid w:val="00EC13F9"/>
    <w:rsid w:val="00EF3F6A"/>
    <w:rsid w:val="00F262CA"/>
    <w:rsid w:val="00F725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819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3A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763A2"/>
    <w:rPr>
      <w:color w:val="0000FF"/>
      <w:u w:val="single"/>
    </w:rPr>
  </w:style>
  <w:style w:type="table" w:styleId="TableGrid">
    <w:name w:val="Table Grid"/>
    <w:basedOn w:val="TableNormal"/>
    <w:rsid w:val="0037526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A87C9E"/>
    <w:rPr>
      <w:sz w:val="20"/>
      <w:szCs w:val="20"/>
    </w:rPr>
  </w:style>
  <w:style w:type="character" w:customStyle="1" w:styleId="FootnoteTextChar">
    <w:name w:val="Footnote Text Char"/>
    <w:basedOn w:val="DefaultParagraphFont"/>
    <w:link w:val="FootnoteText"/>
    <w:semiHidden/>
    <w:rsid w:val="00A87C9E"/>
    <w:rPr>
      <w:rFonts w:ascii="Times New Roman" w:eastAsia="Times New Roman" w:hAnsi="Times New Roman"/>
    </w:rPr>
  </w:style>
  <w:style w:type="character" w:styleId="FootnoteReference">
    <w:name w:val="footnote reference"/>
    <w:basedOn w:val="DefaultParagraphFont"/>
    <w:semiHidden/>
    <w:rsid w:val="00A87C9E"/>
    <w:rPr>
      <w:vertAlign w:val="superscript"/>
    </w:rPr>
  </w:style>
  <w:style w:type="paragraph" w:styleId="BalloonText">
    <w:name w:val="Balloon Text"/>
    <w:basedOn w:val="Normal"/>
    <w:link w:val="BalloonTextChar"/>
    <w:uiPriority w:val="99"/>
    <w:semiHidden/>
    <w:unhideWhenUsed/>
    <w:rsid w:val="009C12C9"/>
    <w:rPr>
      <w:rFonts w:ascii="Tahoma" w:hAnsi="Tahoma" w:cs="Tahoma"/>
      <w:sz w:val="16"/>
      <w:szCs w:val="16"/>
    </w:rPr>
  </w:style>
  <w:style w:type="character" w:customStyle="1" w:styleId="BalloonTextChar">
    <w:name w:val="Balloon Text Char"/>
    <w:basedOn w:val="DefaultParagraphFont"/>
    <w:link w:val="BalloonText"/>
    <w:uiPriority w:val="99"/>
    <w:semiHidden/>
    <w:rsid w:val="009C12C9"/>
    <w:rPr>
      <w:rFonts w:ascii="Tahoma" w:eastAsia="Times New Roman" w:hAnsi="Tahoma" w:cs="Tahoma"/>
      <w:sz w:val="16"/>
      <w:szCs w:val="16"/>
    </w:rPr>
  </w:style>
  <w:style w:type="paragraph" w:styleId="Header">
    <w:name w:val="header"/>
    <w:basedOn w:val="Normal"/>
    <w:link w:val="HeaderChar"/>
    <w:uiPriority w:val="99"/>
    <w:semiHidden/>
    <w:unhideWhenUsed/>
    <w:rsid w:val="00E27E18"/>
    <w:pPr>
      <w:tabs>
        <w:tab w:val="center" w:pos="4680"/>
        <w:tab w:val="right" w:pos="9360"/>
      </w:tabs>
    </w:pPr>
  </w:style>
  <w:style w:type="character" w:customStyle="1" w:styleId="HeaderChar">
    <w:name w:val="Header Char"/>
    <w:basedOn w:val="DefaultParagraphFont"/>
    <w:link w:val="Header"/>
    <w:uiPriority w:val="99"/>
    <w:semiHidden/>
    <w:rsid w:val="00E27E18"/>
    <w:rPr>
      <w:rFonts w:ascii="Times New Roman" w:eastAsia="Times New Roman" w:hAnsi="Times New Roman"/>
      <w:sz w:val="24"/>
      <w:szCs w:val="24"/>
    </w:rPr>
  </w:style>
  <w:style w:type="paragraph" w:styleId="Footer">
    <w:name w:val="footer"/>
    <w:basedOn w:val="Normal"/>
    <w:link w:val="FooterChar"/>
    <w:uiPriority w:val="99"/>
    <w:unhideWhenUsed/>
    <w:rsid w:val="00E27E18"/>
    <w:pPr>
      <w:tabs>
        <w:tab w:val="center" w:pos="4680"/>
        <w:tab w:val="right" w:pos="9360"/>
      </w:tabs>
    </w:pPr>
  </w:style>
  <w:style w:type="character" w:customStyle="1" w:styleId="FooterChar">
    <w:name w:val="Footer Char"/>
    <w:basedOn w:val="DefaultParagraphFont"/>
    <w:link w:val="Footer"/>
    <w:uiPriority w:val="99"/>
    <w:rsid w:val="00E27E18"/>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01551435">
      <w:bodyDiv w:val="1"/>
      <w:marLeft w:val="0"/>
      <w:marRight w:val="0"/>
      <w:marTop w:val="0"/>
      <w:marBottom w:val="0"/>
      <w:divBdr>
        <w:top w:val="none" w:sz="0" w:space="0" w:color="auto"/>
        <w:left w:val="none" w:sz="0" w:space="0" w:color="auto"/>
        <w:bottom w:val="none" w:sz="0" w:space="0" w:color="auto"/>
        <w:right w:val="none" w:sz="0" w:space="0" w:color="auto"/>
      </w:divBdr>
    </w:div>
    <w:div w:id="516627113">
      <w:bodyDiv w:val="1"/>
      <w:marLeft w:val="0"/>
      <w:marRight w:val="0"/>
      <w:marTop w:val="0"/>
      <w:marBottom w:val="0"/>
      <w:divBdr>
        <w:top w:val="none" w:sz="0" w:space="0" w:color="auto"/>
        <w:left w:val="none" w:sz="0" w:space="0" w:color="auto"/>
        <w:bottom w:val="none" w:sz="0" w:space="0" w:color="auto"/>
        <w:right w:val="none" w:sz="0" w:space="0" w:color="auto"/>
      </w:divBdr>
    </w:div>
    <w:div w:id="1201045028">
      <w:bodyDiv w:val="1"/>
      <w:marLeft w:val="0"/>
      <w:marRight w:val="0"/>
      <w:marTop w:val="0"/>
      <w:marBottom w:val="0"/>
      <w:divBdr>
        <w:top w:val="none" w:sz="0" w:space="0" w:color="auto"/>
        <w:left w:val="none" w:sz="0" w:space="0" w:color="auto"/>
        <w:bottom w:val="none" w:sz="0" w:space="0" w:color="auto"/>
        <w:right w:val="none" w:sz="0" w:space="0" w:color="auto"/>
      </w:divBdr>
    </w:div>
    <w:div w:id="1206064794">
      <w:bodyDiv w:val="1"/>
      <w:marLeft w:val="0"/>
      <w:marRight w:val="0"/>
      <w:marTop w:val="0"/>
      <w:marBottom w:val="0"/>
      <w:divBdr>
        <w:top w:val="none" w:sz="0" w:space="0" w:color="auto"/>
        <w:left w:val="none" w:sz="0" w:space="0" w:color="auto"/>
        <w:bottom w:val="none" w:sz="0" w:space="0" w:color="auto"/>
        <w:right w:val="none" w:sz="0" w:space="0" w:color="auto"/>
      </w:divBdr>
    </w:div>
    <w:div w:id="1329868830">
      <w:bodyDiv w:val="1"/>
      <w:marLeft w:val="0"/>
      <w:marRight w:val="0"/>
      <w:marTop w:val="0"/>
      <w:marBottom w:val="0"/>
      <w:divBdr>
        <w:top w:val="none" w:sz="0" w:space="0" w:color="auto"/>
        <w:left w:val="none" w:sz="0" w:space="0" w:color="auto"/>
        <w:bottom w:val="none" w:sz="0" w:space="0" w:color="auto"/>
        <w:right w:val="none" w:sz="0" w:space="0" w:color="auto"/>
      </w:divBdr>
    </w:div>
    <w:div w:id="1551527136">
      <w:bodyDiv w:val="1"/>
      <w:marLeft w:val="0"/>
      <w:marRight w:val="0"/>
      <w:marTop w:val="0"/>
      <w:marBottom w:val="0"/>
      <w:divBdr>
        <w:top w:val="none" w:sz="0" w:space="0" w:color="auto"/>
        <w:left w:val="none" w:sz="0" w:space="0" w:color="auto"/>
        <w:bottom w:val="none" w:sz="0" w:space="0" w:color="auto"/>
        <w:right w:val="none" w:sz="0" w:space="0" w:color="auto"/>
      </w:divBdr>
    </w:div>
    <w:div w:id="1627739276">
      <w:bodyDiv w:val="1"/>
      <w:marLeft w:val="0"/>
      <w:marRight w:val="0"/>
      <w:marTop w:val="0"/>
      <w:marBottom w:val="0"/>
      <w:divBdr>
        <w:top w:val="none" w:sz="0" w:space="0" w:color="auto"/>
        <w:left w:val="none" w:sz="0" w:space="0" w:color="auto"/>
        <w:bottom w:val="none" w:sz="0" w:space="0" w:color="auto"/>
        <w:right w:val="none" w:sz="0" w:space="0" w:color="auto"/>
      </w:divBdr>
    </w:div>
    <w:div w:id="1888645449">
      <w:bodyDiv w:val="1"/>
      <w:marLeft w:val="0"/>
      <w:marRight w:val="0"/>
      <w:marTop w:val="0"/>
      <w:marBottom w:val="0"/>
      <w:divBdr>
        <w:top w:val="none" w:sz="0" w:space="0" w:color="auto"/>
        <w:left w:val="none" w:sz="0" w:space="0" w:color="auto"/>
        <w:bottom w:val="none" w:sz="0" w:space="0" w:color="auto"/>
        <w:right w:val="none" w:sz="0" w:space="0" w:color="auto"/>
      </w:divBdr>
    </w:div>
    <w:div w:id="192610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pdoran@ucdavis.edu" TargetMode="Externa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chart" Target="charts/chart7.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pdoran.AD3\Documents\UCCE%20Files\Projects\Livestock%20Processing\UC%20SAREP%202006\Survey%20return%20results\Master%20Mailing%20List%20with%20Survey%20Status%2018%20Mar%2007.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pdoran.AD3\Documents\UCCE%20Files\Projects\Livestock%20Processing\UC%20SAREP%202006\Survey%20return%20results\Survey%20answer%20worksheet%206-16-07%202%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pdoran.AD3\Documents\UCCE%20Files\Projects\Livestock%20Processing\UC%20SAREP%202006\Survey%20return%20results\Survey%20answer%20worksheet%206-16-07%202%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pdoran.AD3\Documents\UCCE%20Files\Projects\Livestock%20Processing\UC%20SAREP%202006\Survey%20return%20results\Survey%20answer%20worksheet%206-16-07%202%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pdoran.AD3\Documents\UCCE%20Files\Projects\Livestock%20Processing\UC%20SAREP%202006\Survey%20return%20results\Survey%20answer%20worksheet%206-16-07%202%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mpdoran.AD3\Documents\UCCE%20Files\Projects\Livestock%20Processing\UC%20SAREP%202006\Survey%20return%20results\Survey%20answer%20worksheet%206-16-07%202%2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mpdoran.AD3\Documents\UCCE%20Files\Projects\Livestock%20Processing\UC%20SAREP%202006\Survey%20return%20results\Survey%20answer%20worksheet%206-16-07%202%20.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mpdoran.AD3\Documents\UCCE%20Files\Projects\Livestock%20Processing\UC%20SAREP%202006\Survey%20return%20results\Survey%20answer%20worksheet%206-16-07%202%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7.9754601226994057E-2"/>
          <c:y val="0.15448851774530301"/>
          <c:w val="0.82699386503067485"/>
          <c:h val="0.55741127348643005"/>
        </c:manualLayout>
      </c:layout>
      <c:barChart>
        <c:barDir val="col"/>
        <c:grouping val="clustered"/>
        <c:ser>
          <c:idx val="1"/>
          <c:order val="0"/>
          <c:tx>
            <c:strRef>
              <c:f>'% Return'!$C$1</c:f>
              <c:strCache>
                <c:ptCount val="1"/>
                <c:pt idx="0">
                  <c:v>Surveys Returned</c:v>
                </c:pt>
              </c:strCache>
            </c:strRef>
          </c:tx>
          <c:spPr>
            <a:solidFill>
              <a:srgbClr val="FFFF00"/>
            </a:solidFill>
            <a:ln w="12700">
              <a:solidFill>
                <a:srgbClr val="000000"/>
              </a:solidFill>
              <a:prstDash val="solid"/>
            </a:ln>
          </c:spPr>
          <c:cat>
            <c:strRef>
              <c:f>'% Return'!$A$2:$A$37</c:f>
              <c:strCache>
                <c:ptCount val="36"/>
                <c:pt idx="0">
                  <c:v>Alameda</c:v>
                </c:pt>
                <c:pt idx="1">
                  <c:v>Amador</c:v>
                </c:pt>
                <c:pt idx="2">
                  <c:v>Butte</c:v>
                </c:pt>
                <c:pt idx="3">
                  <c:v>Calaveras</c:v>
                </c:pt>
                <c:pt idx="4">
                  <c:v>Colusa</c:v>
                </c:pt>
                <c:pt idx="5">
                  <c:v>Contra Costa</c:v>
                </c:pt>
                <c:pt idx="6">
                  <c:v>Del Norte</c:v>
                </c:pt>
                <c:pt idx="7">
                  <c:v>El Dorado</c:v>
                </c:pt>
                <c:pt idx="8">
                  <c:v>Glenn</c:v>
                </c:pt>
                <c:pt idx="9">
                  <c:v>Humboldt</c:v>
                </c:pt>
                <c:pt idx="10">
                  <c:v>Lake</c:v>
                </c:pt>
                <c:pt idx="11">
                  <c:v>Lassen</c:v>
                </c:pt>
                <c:pt idx="12">
                  <c:v>Marin</c:v>
                </c:pt>
                <c:pt idx="13">
                  <c:v>Mendocino</c:v>
                </c:pt>
                <c:pt idx="14">
                  <c:v>Modoc</c:v>
                </c:pt>
                <c:pt idx="15">
                  <c:v>Napa</c:v>
                </c:pt>
                <c:pt idx="16">
                  <c:v>Nevada</c:v>
                </c:pt>
                <c:pt idx="17">
                  <c:v>Placer</c:v>
                </c:pt>
                <c:pt idx="18">
                  <c:v>Plumas</c:v>
                </c:pt>
                <c:pt idx="19">
                  <c:v>Sacramento</c:v>
                </c:pt>
                <c:pt idx="20">
                  <c:v>San Francisco</c:v>
                </c:pt>
                <c:pt idx="21">
                  <c:v>San Joaquin</c:v>
                </c:pt>
                <c:pt idx="22">
                  <c:v>San Mateo</c:v>
                </c:pt>
                <c:pt idx="23">
                  <c:v>Santa Clara</c:v>
                </c:pt>
                <c:pt idx="24">
                  <c:v>Shasta</c:v>
                </c:pt>
                <c:pt idx="25">
                  <c:v>Sierra</c:v>
                </c:pt>
                <c:pt idx="26">
                  <c:v>Siskiyou</c:v>
                </c:pt>
                <c:pt idx="27">
                  <c:v>Solano</c:v>
                </c:pt>
                <c:pt idx="28">
                  <c:v>Sonoma</c:v>
                </c:pt>
                <c:pt idx="29">
                  <c:v>Stanislaus</c:v>
                </c:pt>
                <c:pt idx="30">
                  <c:v>Sutter</c:v>
                </c:pt>
                <c:pt idx="31">
                  <c:v>Tehema</c:v>
                </c:pt>
                <c:pt idx="32">
                  <c:v>Trinity</c:v>
                </c:pt>
                <c:pt idx="33">
                  <c:v>Tuolumne</c:v>
                </c:pt>
                <c:pt idx="34">
                  <c:v>Yolo</c:v>
                </c:pt>
                <c:pt idx="35">
                  <c:v>Yuba</c:v>
                </c:pt>
              </c:strCache>
            </c:strRef>
          </c:cat>
          <c:val>
            <c:numRef>
              <c:f>'% Return'!$C$2:$C$37</c:f>
              <c:numCache>
                <c:formatCode>General</c:formatCode>
                <c:ptCount val="36"/>
                <c:pt idx="0">
                  <c:v>21</c:v>
                </c:pt>
                <c:pt idx="1">
                  <c:v>14</c:v>
                </c:pt>
                <c:pt idx="2">
                  <c:v>10</c:v>
                </c:pt>
                <c:pt idx="3">
                  <c:v>7</c:v>
                </c:pt>
                <c:pt idx="4">
                  <c:v>2</c:v>
                </c:pt>
                <c:pt idx="5">
                  <c:v>5</c:v>
                </c:pt>
                <c:pt idx="6">
                  <c:v>1</c:v>
                </c:pt>
                <c:pt idx="7">
                  <c:v>10</c:v>
                </c:pt>
                <c:pt idx="8">
                  <c:v>18</c:v>
                </c:pt>
                <c:pt idx="9">
                  <c:v>17</c:v>
                </c:pt>
                <c:pt idx="10">
                  <c:v>5</c:v>
                </c:pt>
                <c:pt idx="11">
                  <c:v>10</c:v>
                </c:pt>
                <c:pt idx="12">
                  <c:v>12</c:v>
                </c:pt>
                <c:pt idx="13">
                  <c:v>3</c:v>
                </c:pt>
                <c:pt idx="14">
                  <c:v>24</c:v>
                </c:pt>
                <c:pt idx="15">
                  <c:v>6</c:v>
                </c:pt>
                <c:pt idx="16">
                  <c:v>13</c:v>
                </c:pt>
                <c:pt idx="17">
                  <c:v>13</c:v>
                </c:pt>
                <c:pt idx="18">
                  <c:v>7</c:v>
                </c:pt>
                <c:pt idx="19">
                  <c:v>6</c:v>
                </c:pt>
                <c:pt idx="20">
                  <c:v>2</c:v>
                </c:pt>
                <c:pt idx="21">
                  <c:v>13</c:v>
                </c:pt>
                <c:pt idx="22">
                  <c:v>2</c:v>
                </c:pt>
                <c:pt idx="23">
                  <c:v>22</c:v>
                </c:pt>
                <c:pt idx="24">
                  <c:v>27</c:v>
                </c:pt>
                <c:pt idx="25">
                  <c:v>4</c:v>
                </c:pt>
                <c:pt idx="26">
                  <c:v>26</c:v>
                </c:pt>
                <c:pt idx="27">
                  <c:v>21</c:v>
                </c:pt>
                <c:pt idx="28">
                  <c:v>47</c:v>
                </c:pt>
                <c:pt idx="29">
                  <c:v>21</c:v>
                </c:pt>
                <c:pt idx="30">
                  <c:v>7</c:v>
                </c:pt>
                <c:pt idx="31">
                  <c:v>21</c:v>
                </c:pt>
                <c:pt idx="32">
                  <c:v>0</c:v>
                </c:pt>
                <c:pt idx="33">
                  <c:v>4</c:v>
                </c:pt>
                <c:pt idx="34">
                  <c:v>10</c:v>
                </c:pt>
                <c:pt idx="35">
                  <c:v>8</c:v>
                </c:pt>
              </c:numCache>
            </c:numRef>
          </c:val>
        </c:ser>
        <c:axId val="81869824"/>
        <c:axId val="81913344"/>
      </c:barChart>
      <c:lineChart>
        <c:grouping val="standard"/>
        <c:ser>
          <c:idx val="0"/>
          <c:order val="1"/>
          <c:tx>
            <c:strRef>
              <c:f>'% Return'!$D$1</c:f>
              <c:strCache>
                <c:ptCount val="1"/>
                <c:pt idx="0">
                  <c:v>% Return</c:v>
                </c:pt>
              </c:strCache>
            </c:strRef>
          </c:tx>
          <c:spPr>
            <a:ln w="28575">
              <a:noFill/>
            </a:ln>
          </c:spPr>
          <c:marker>
            <c:symbol val="diamond"/>
            <c:size val="5"/>
            <c:spPr>
              <a:solidFill>
                <a:srgbClr val="000000"/>
              </a:solidFill>
              <a:ln>
                <a:solidFill>
                  <a:srgbClr val="000000"/>
                </a:solidFill>
                <a:prstDash val="solid"/>
              </a:ln>
            </c:spPr>
          </c:marker>
          <c:cat>
            <c:strRef>
              <c:f>'% Return'!$A$2:$A$37</c:f>
              <c:strCache>
                <c:ptCount val="36"/>
                <c:pt idx="0">
                  <c:v>Alameda</c:v>
                </c:pt>
                <c:pt idx="1">
                  <c:v>Amador</c:v>
                </c:pt>
                <c:pt idx="2">
                  <c:v>Butte</c:v>
                </c:pt>
                <c:pt idx="3">
                  <c:v>Calaveras</c:v>
                </c:pt>
                <c:pt idx="4">
                  <c:v>Colusa</c:v>
                </c:pt>
                <c:pt idx="5">
                  <c:v>Contra Costa</c:v>
                </c:pt>
                <c:pt idx="6">
                  <c:v>Del Norte</c:v>
                </c:pt>
                <c:pt idx="7">
                  <c:v>El Dorado</c:v>
                </c:pt>
                <c:pt idx="8">
                  <c:v>Glenn</c:v>
                </c:pt>
                <c:pt idx="9">
                  <c:v>Humboldt</c:v>
                </c:pt>
                <c:pt idx="10">
                  <c:v>Lake</c:v>
                </c:pt>
                <c:pt idx="11">
                  <c:v>Lassen</c:v>
                </c:pt>
                <c:pt idx="12">
                  <c:v>Marin</c:v>
                </c:pt>
                <c:pt idx="13">
                  <c:v>Mendocino</c:v>
                </c:pt>
                <c:pt idx="14">
                  <c:v>Modoc</c:v>
                </c:pt>
                <c:pt idx="15">
                  <c:v>Napa</c:v>
                </c:pt>
                <c:pt idx="16">
                  <c:v>Nevada</c:v>
                </c:pt>
                <c:pt idx="17">
                  <c:v>Placer</c:v>
                </c:pt>
                <c:pt idx="18">
                  <c:v>Plumas</c:v>
                </c:pt>
                <c:pt idx="19">
                  <c:v>Sacramento</c:v>
                </c:pt>
                <c:pt idx="20">
                  <c:v>San Francisco</c:v>
                </c:pt>
                <c:pt idx="21">
                  <c:v>San Joaquin</c:v>
                </c:pt>
                <c:pt idx="22">
                  <c:v>San Mateo</c:v>
                </c:pt>
                <c:pt idx="23">
                  <c:v>Santa Clara</c:v>
                </c:pt>
                <c:pt idx="24">
                  <c:v>Shasta</c:v>
                </c:pt>
                <c:pt idx="25">
                  <c:v>Sierra</c:v>
                </c:pt>
                <c:pt idx="26">
                  <c:v>Siskiyou</c:v>
                </c:pt>
                <c:pt idx="27">
                  <c:v>Solano</c:v>
                </c:pt>
                <c:pt idx="28">
                  <c:v>Sonoma</c:v>
                </c:pt>
                <c:pt idx="29">
                  <c:v>Stanislaus</c:v>
                </c:pt>
                <c:pt idx="30">
                  <c:v>Sutter</c:v>
                </c:pt>
                <c:pt idx="31">
                  <c:v>Tehema</c:v>
                </c:pt>
                <c:pt idx="32">
                  <c:v>Trinity</c:v>
                </c:pt>
                <c:pt idx="33">
                  <c:v>Tuolumne</c:v>
                </c:pt>
                <c:pt idx="34">
                  <c:v>Yolo</c:v>
                </c:pt>
                <c:pt idx="35">
                  <c:v>Yuba</c:v>
                </c:pt>
              </c:strCache>
            </c:strRef>
          </c:cat>
          <c:val>
            <c:numRef>
              <c:f>'% Return'!$D$2:$D$37</c:f>
              <c:numCache>
                <c:formatCode>0</c:formatCode>
                <c:ptCount val="36"/>
                <c:pt idx="0">
                  <c:v>5.4404145077720205</c:v>
                </c:pt>
                <c:pt idx="1">
                  <c:v>14.432989690721662</c:v>
                </c:pt>
                <c:pt idx="2">
                  <c:v>8.4745762711864554</c:v>
                </c:pt>
                <c:pt idx="3">
                  <c:v>14.893617021276595</c:v>
                </c:pt>
                <c:pt idx="4">
                  <c:v>5.5555555555555447</c:v>
                </c:pt>
                <c:pt idx="5">
                  <c:v>17.241379310344829</c:v>
                </c:pt>
                <c:pt idx="6">
                  <c:v>11.111111111111093</c:v>
                </c:pt>
                <c:pt idx="7">
                  <c:v>6.09756097560975</c:v>
                </c:pt>
                <c:pt idx="8">
                  <c:v>13.740458015267173</c:v>
                </c:pt>
                <c:pt idx="9">
                  <c:v>9.4444444444444446</c:v>
                </c:pt>
                <c:pt idx="10">
                  <c:v>15.625</c:v>
                </c:pt>
                <c:pt idx="11">
                  <c:v>10.416666666666682</c:v>
                </c:pt>
                <c:pt idx="12">
                  <c:v>10.526315789473669</c:v>
                </c:pt>
                <c:pt idx="13">
                  <c:v>11.111111111111093</c:v>
                </c:pt>
                <c:pt idx="14">
                  <c:v>20.338983050847489</c:v>
                </c:pt>
                <c:pt idx="15">
                  <c:v>5.1724137931034484</c:v>
                </c:pt>
                <c:pt idx="16">
                  <c:v>8.4967320261438068</c:v>
                </c:pt>
                <c:pt idx="17">
                  <c:v>6.1032863849765304</c:v>
                </c:pt>
                <c:pt idx="18">
                  <c:v>5.0724637681159415</c:v>
                </c:pt>
                <c:pt idx="19">
                  <c:v>5.5555555555555447</c:v>
                </c:pt>
                <c:pt idx="20">
                  <c:v>6.4516129032258114</c:v>
                </c:pt>
                <c:pt idx="21">
                  <c:v>7.9754601226993938</c:v>
                </c:pt>
                <c:pt idx="22">
                  <c:v>2.2471910112359628</c:v>
                </c:pt>
                <c:pt idx="23">
                  <c:v>6.9400630914826635</c:v>
                </c:pt>
                <c:pt idx="24">
                  <c:v>9.7826086956521685</c:v>
                </c:pt>
                <c:pt idx="25">
                  <c:v>6.557377049180328</c:v>
                </c:pt>
                <c:pt idx="26">
                  <c:v>10.116731517509745</c:v>
                </c:pt>
                <c:pt idx="27">
                  <c:v>13.815789473684237</c:v>
                </c:pt>
                <c:pt idx="28">
                  <c:v>10.085836909871265</c:v>
                </c:pt>
                <c:pt idx="29">
                  <c:v>6.1946902654867255</c:v>
                </c:pt>
                <c:pt idx="30">
                  <c:v>8.536585365853659</c:v>
                </c:pt>
                <c:pt idx="31">
                  <c:v>5.9322033898305175</c:v>
                </c:pt>
                <c:pt idx="32">
                  <c:v>0</c:v>
                </c:pt>
                <c:pt idx="33">
                  <c:v>22.222222222222179</c:v>
                </c:pt>
                <c:pt idx="34">
                  <c:v>6.3291139240506329</c:v>
                </c:pt>
                <c:pt idx="35">
                  <c:v>8.791208791208776</c:v>
                </c:pt>
              </c:numCache>
            </c:numRef>
          </c:val>
        </c:ser>
        <c:marker val="1"/>
        <c:axId val="81915264"/>
        <c:axId val="82089856"/>
      </c:lineChart>
      <c:catAx>
        <c:axId val="81869824"/>
        <c:scaling>
          <c:orientation val="minMax"/>
        </c:scaling>
        <c:axPos val="b"/>
        <c:numFmt formatCode="General" sourceLinked="1"/>
        <c:majorTickMark val="cross"/>
        <c:tickLblPos val="nextTo"/>
        <c:spPr>
          <a:ln w="3175">
            <a:solidFill>
              <a:srgbClr val="000000"/>
            </a:solidFill>
            <a:prstDash val="solid"/>
          </a:ln>
        </c:spPr>
        <c:txPr>
          <a:bodyPr rot="-5400000" vert="horz"/>
          <a:lstStyle/>
          <a:p>
            <a:pPr>
              <a:defRPr sz="1000" b="0" i="0" u="none" strike="noStrike" baseline="0">
                <a:solidFill>
                  <a:srgbClr val="000000"/>
                </a:solidFill>
                <a:latin typeface="Arial"/>
                <a:ea typeface="Arial"/>
                <a:cs typeface="Arial"/>
              </a:defRPr>
            </a:pPr>
            <a:endParaRPr lang="en-US"/>
          </a:p>
        </c:txPr>
        <c:crossAx val="81913344"/>
        <c:crosses val="autoZero"/>
        <c:lblAlgn val="ctr"/>
        <c:lblOffset val="100"/>
        <c:tickLblSkip val="1"/>
        <c:tickMarkSkip val="1"/>
      </c:catAx>
      <c:valAx>
        <c:axId val="81913344"/>
        <c:scaling>
          <c:orientation val="minMax"/>
        </c:scaling>
        <c:axPos val="l"/>
        <c:title>
          <c:tx>
            <c:rich>
              <a:bodyPr/>
              <a:lstStyle/>
              <a:p>
                <a:pPr>
                  <a:defRPr sz="1000" b="1" i="0" u="none" strike="noStrike" baseline="0">
                    <a:solidFill>
                      <a:srgbClr val="000000"/>
                    </a:solidFill>
                    <a:latin typeface="Arial"/>
                    <a:ea typeface="Arial"/>
                    <a:cs typeface="Arial"/>
                  </a:defRPr>
                </a:pPr>
                <a:r>
                  <a:rPr lang="en-US"/>
                  <a:t>Number of returned surveys</a:t>
                </a:r>
              </a:p>
            </c:rich>
          </c:tx>
          <c:layout>
            <c:manualLayout>
              <c:xMode val="edge"/>
              <c:yMode val="edge"/>
              <c:x val="1.9631901840490809E-2"/>
              <c:y val="0.24634647941734608"/>
            </c:manualLayout>
          </c:layout>
          <c:spPr>
            <a:noFill/>
            <a:ln w="25400">
              <a:noFill/>
            </a:ln>
          </c:spPr>
        </c:title>
        <c:numFmt formatCode="General" sourceLinked="1"/>
        <c:majorTickMark val="cross"/>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81869824"/>
        <c:crosses val="autoZero"/>
        <c:crossBetween val="between"/>
      </c:valAx>
      <c:catAx>
        <c:axId val="81915264"/>
        <c:scaling>
          <c:orientation val="minMax"/>
        </c:scaling>
        <c:delete val="1"/>
        <c:axPos val="b"/>
        <c:tickLblPos val="nextTo"/>
        <c:crossAx val="82089856"/>
        <c:crosses val="autoZero"/>
        <c:lblAlgn val="ctr"/>
        <c:lblOffset val="100"/>
      </c:catAx>
      <c:valAx>
        <c:axId val="82089856"/>
        <c:scaling>
          <c:orientation val="minMax"/>
        </c:scaling>
        <c:axPos val="r"/>
        <c:title>
          <c:tx>
            <c:rich>
              <a:bodyPr/>
              <a:lstStyle/>
              <a:p>
                <a:pPr>
                  <a:defRPr sz="1000" b="1" i="0" u="none" strike="noStrike" baseline="0">
                    <a:solidFill>
                      <a:srgbClr val="000000"/>
                    </a:solidFill>
                    <a:latin typeface="Arial"/>
                    <a:ea typeface="Arial"/>
                    <a:cs typeface="Arial"/>
                  </a:defRPr>
                </a:pPr>
                <a:r>
                  <a:rPr lang="en-US"/>
                  <a:t>Percent of surveys returned</a:t>
                </a:r>
              </a:p>
            </c:rich>
          </c:tx>
          <c:layout>
            <c:manualLayout>
              <c:xMode val="edge"/>
              <c:yMode val="edge"/>
              <c:x val="0.95337423312883596"/>
              <c:y val="0.24634647941734608"/>
            </c:manualLayout>
          </c:layout>
          <c:spPr>
            <a:noFill/>
            <a:ln w="25400">
              <a:noFill/>
            </a:ln>
          </c:spPr>
        </c:title>
        <c:numFmt formatCode="0" sourceLinked="1"/>
        <c:majorTickMark val="cross"/>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81915264"/>
        <c:crosses val="max"/>
        <c:crossBetween val="between"/>
      </c:valAx>
      <c:spPr>
        <a:noFill/>
        <a:ln w="12700">
          <a:solidFill>
            <a:srgbClr val="808080"/>
          </a:solidFill>
          <a:prstDash val="solid"/>
        </a:ln>
      </c:spPr>
    </c:plotArea>
    <c:legend>
      <c:legendPos val="b"/>
      <c:layout>
        <c:manualLayout>
          <c:xMode val="edge"/>
          <c:yMode val="edge"/>
          <c:x val="0.37300613496932572"/>
          <c:y val="0.93528172614786798"/>
          <c:w val="0.23926380368098171"/>
          <c:h val="5.0104418765836066E-2"/>
        </c:manualLayout>
      </c:layout>
      <c:spPr>
        <a:solidFill>
          <a:srgbClr val="FFFFFF"/>
        </a:solidFill>
        <a:ln w="3175">
          <a:solidFill>
            <a:srgbClr val="000000"/>
          </a:solidFill>
          <a:prstDash val="solid"/>
        </a:ln>
      </c:spPr>
      <c:txPr>
        <a:bodyPr/>
        <a:lstStyle/>
        <a:p>
          <a:pPr>
            <a:defRPr sz="920" b="0" i="0" u="none" strike="noStrike" baseline="0">
              <a:solidFill>
                <a:srgbClr val="000000"/>
              </a:solidFill>
              <a:latin typeface="Arial"/>
              <a:ea typeface="Arial"/>
              <a:cs typeface="Arial"/>
            </a:defRPr>
          </a:pPr>
          <a:endParaRPr lang="en-US"/>
        </a:p>
      </c:txPr>
    </c:legend>
    <c:plotVisOnly val="1"/>
    <c:dispBlanksAs val="gap"/>
  </c:chart>
  <c:spPr>
    <a:solidFill>
      <a:srgbClr val="FFFFFF"/>
    </a:solid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4358573928258966"/>
          <c:y val="5.1400554097404488E-2"/>
          <c:w val="0.81196981627296583"/>
          <c:h val="0.58855861767279094"/>
        </c:manualLayout>
      </c:layout>
      <c:barChart>
        <c:barDir val="col"/>
        <c:grouping val="clustered"/>
        <c:ser>
          <c:idx val="0"/>
          <c:order val="0"/>
          <c:tx>
            <c:strRef>
              <c:f>Sheet2!$B$1</c:f>
              <c:strCache>
                <c:ptCount val="1"/>
                <c:pt idx="0">
                  <c:v>Cow-calf</c:v>
                </c:pt>
              </c:strCache>
            </c:strRef>
          </c:tx>
          <c:cat>
            <c:strRef>
              <c:f>Sheet2!$A$2:$A$6</c:f>
              <c:strCache>
                <c:ptCount val="5"/>
                <c:pt idx="0">
                  <c:v>&lt;50</c:v>
                </c:pt>
                <c:pt idx="1">
                  <c:v>50-99</c:v>
                </c:pt>
                <c:pt idx="2">
                  <c:v>100-199</c:v>
                </c:pt>
                <c:pt idx="3">
                  <c:v>200-499</c:v>
                </c:pt>
                <c:pt idx="4">
                  <c:v>&gt;500</c:v>
                </c:pt>
              </c:strCache>
            </c:strRef>
          </c:cat>
          <c:val>
            <c:numRef>
              <c:f>Sheet2!$B$2:$B$6</c:f>
              <c:numCache>
                <c:formatCode>General</c:formatCode>
                <c:ptCount val="5"/>
                <c:pt idx="0">
                  <c:v>153</c:v>
                </c:pt>
                <c:pt idx="1">
                  <c:v>73</c:v>
                </c:pt>
                <c:pt idx="2">
                  <c:v>64</c:v>
                </c:pt>
                <c:pt idx="3">
                  <c:v>57</c:v>
                </c:pt>
                <c:pt idx="4">
                  <c:v>32</c:v>
                </c:pt>
              </c:numCache>
            </c:numRef>
          </c:val>
        </c:ser>
        <c:ser>
          <c:idx val="1"/>
          <c:order val="1"/>
          <c:tx>
            <c:strRef>
              <c:f>Sheet2!$C$1</c:f>
              <c:strCache>
                <c:ptCount val="1"/>
                <c:pt idx="0">
                  <c:v>Weaned Calves</c:v>
                </c:pt>
              </c:strCache>
            </c:strRef>
          </c:tx>
          <c:cat>
            <c:strRef>
              <c:f>Sheet2!$A$2:$A$6</c:f>
              <c:strCache>
                <c:ptCount val="5"/>
                <c:pt idx="0">
                  <c:v>&lt;50</c:v>
                </c:pt>
                <c:pt idx="1">
                  <c:v>50-99</c:v>
                </c:pt>
                <c:pt idx="2">
                  <c:v>100-199</c:v>
                </c:pt>
                <c:pt idx="3">
                  <c:v>200-499</c:v>
                </c:pt>
                <c:pt idx="4">
                  <c:v>&gt;500</c:v>
                </c:pt>
              </c:strCache>
            </c:strRef>
          </c:cat>
          <c:val>
            <c:numRef>
              <c:f>Sheet2!$C$2:$C$6</c:f>
              <c:numCache>
                <c:formatCode>General</c:formatCode>
                <c:ptCount val="5"/>
                <c:pt idx="0">
                  <c:v>136</c:v>
                </c:pt>
                <c:pt idx="1">
                  <c:v>44</c:v>
                </c:pt>
                <c:pt idx="2">
                  <c:v>43</c:v>
                </c:pt>
                <c:pt idx="3">
                  <c:v>30</c:v>
                </c:pt>
                <c:pt idx="4">
                  <c:v>31</c:v>
                </c:pt>
              </c:numCache>
            </c:numRef>
          </c:val>
        </c:ser>
        <c:ser>
          <c:idx val="2"/>
          <c:order val="2"/>
          <c:tx>
            <c:strRef>
              <c:f>Sheet2!$D$1</c:f>
              <c:strCache>
                <c:ptCount val="1"/>
                <c:pt idx="0">
                  <c:v>Sheep</c:v>
                </c:pt>
              </c:strCache>
            </c:strRef>
          </c:tx>
          <c:cat>
            <c:strRef>
              <c:f>Sheet2!$A$2:$A$6</c:f>
              <c:strCache>
                <c:ptCount val="5"/>
                <c:pt idx="0">
                  <c:v>&lt;50</c:v>
                </c:pt>
                <c:pt idx="1">
                  <c:v>50-99</c:v>
                </c:pt>
                <c:pt idx="2">
                  <c:v>100-199</c:v>
                </c:pt>
                <c:pt idx="3">
                  <c:v>200-499</c:v>
                </c:pt>
                <c:pt idx="4">
                  <c:v>&gt;500</c:v>
                </c:pt>
              </c:strCache>
            </c:strRef>
          </c:cat>
          <c:val>
            <c:numRef>
              <c:f>Sheet2!$D$2:$D$6</c:f>
              <c:numCache>
                <c:formatCode>General</c:formatCode>
                <c:ptCount val="5"/>
                <c:pt idx="0">
                  <c:v>58</c:v>
                </c:pt>
                <c:pt idx="1">
                  <c:v>19</c:v>
                </c:pt>
                <c:pt idx="2">
                  <c:v>10</c:v>
                </c:pt>
                <c:pt idx="3">
                  <c:v>9</c:v>
                </c:pt>
                <c:pt idx="4">
                  <c:v>9</c:v>
                </c:pt>
              </c:numCache>
            </c:numRef>
          </c:val>
        </c:ser>
        <c:ser>
          <c:idx val="3"/>
          <c:order val="3"/>
          <c:tx>
            <c:strRef>
              <c:f>Sheet2!$E$1</c:f>
              <c:strCache>
                <c:ptCount val="1"/>
                <c:pt idx="0">
                  <c:v>Goats</c:v>
                </c:pt>
              </c:strCache>
            </c:strRef>
          </c:tx>
          <c:cat>
            <c:strRef>
              <c:f>Sheet2!$A$2:$A$6</c:f>
              <c:strCache>
                <c:ptCount val="5"/>
                <c:pt idx="0">
                  <c:v>&lt;50</c:v>
                </c:pt>
                <c:pt idx="1">
                  <c:v>50-99</c:v>
                </c:pt>
                <c:pt idx="2">
                  <c:v>100-199</c:v>
                </c:pt>
                <c:pt idx="3">
                  <c:v>200-499</c:v>
                </c:pt>
                <c:pt idx="4">
                  <c:v>&gt;500</c:v>
                </c:pt>
              </c:strCache>
            </c:strRef>
          </c:cat>
          <c:val>
            <c:numRef>
              <c:f>Sheet2!$E$2:$E$6</c:f>
              <c:numCache>
                <c:formatCode>General</c:formatCode>
                <c:ptCount val="5"/>
                <c:pt idx="0">
                  <c:v>27</c:v>
                </c:pt>
                <c:pt idx="1">
                  <c:v>5</c:v>
                </c:pt>
                <c:pt idx="2">
                  <c:v>4</c:v>
                </c:pt>
                <c:pt idx="3">
                  <c:v>2</c:v>
                </c:pt>
                <c:pt idx="4">
                  <c:v>4</c:v>
                </c:pt>
              </c:numCache>
            </c:numRef>
          </c:val>
        </c:ser>
        <c:axId val="89959424"/>
        <c:axId val="90011904"/>
      </c:barChart>
      <c:catAx>
        <c:axId val="89959424"/>
        <c:scaling>
          <c:orientation val="minMax"/>
        </c:scaling>
        <c:axPos val="b"/>
        <c:title>
          <c:tx>
            <c:rich>
              <a:bodyPr/>
              <a:lstStyle/>
              <a:p>
                <a:pPr>
                  <a:defRPr/>
                </a:pPr>
                <a:r>
                  <a:rPr lang="en-US"/>
                  <a:t>Size class for number of livestock</a:t>
                </a:r>
              </a:p>
            </c:rich>
          </c:tx>
        </c:title>
        <c:numFmt formatCode="General" sourceLinked="1"/>
        <c:majorTickMark val="none"/>
        <c:tickLblPos val="nextTo"/>
        <c:crossAx val="90011904"/>
        <c:crosses val="autoZero"/>
        <c:auto val="1"/>
        <c:lblAlgn val="ctr"/>
        <c:lblOffset val="100"/>
      </c:catAx>
      <c:valAx>
        <c:axId val="90011904"/>
        <c:scaling>
          <c:orientation val="minMax"/>
        </c:scaling>
        <c:axPos val="l"/>
        <c:majorGridlines/>
        <c:title>
          <c:tx>
            <c:rich>
              <a:bodyPr rot="-5400000" vert="horz"/>
              <a:lstStyle/>
              <a:p>
                <a:pPr>
                  <a:defRPr/>
                </a:pPr>
                <a:r>
                  <a:rPr lang="en-US"/>
                  <a:t>Number of respondents</a:t>
                </a:r>
              </a:p>
            </c:rich>
          </c:tx>
        </c:title>
        <c:numFmt formatCode="General" sourceLinked="1"/>
        <c:majorTickMark val="none"/>
        <c:tickLblPos val="nextTo"/>
        <c:crossAx val="89959424"/>
        <c:crosses val="autoZero"/>
        <c:crossBetween val="between"/>
      </c:valAx>
    </c:plotArea>
    <c:legend>
      <c:legendPos val="b"/>
    </c:legend>
    <c:plotVisOnly val="1"/>
    <c:dispBlanksAs val="gap"/>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1"/>
  <c:chart>
    <c:autoTitleDeleted val="1"/>
    <c:plotArea>
      <c:layout/>
      <c:barChart>
        <c:barDir val="col"/>
        <c:grouping val="clustered"/>
        <c:ser>
          <c:idx val="0"/>
          <c:order val="0"/>
          <c:tx>
            <c:strRef>
              <c:f>Sheet2!$B$21</c:f>
              <c:strCache>
                <c:ptCount val="1"/>
                <c:pt idx="0">
                  <c:v>Q4</c:v>
                </c:pt>
              </c:strCache>
            </c:strRef>
          </c:tx>
          <c:val>
            <c:numRef>
              <c:f>Sheet2!$B$22:$B$26</c:f>
              <c:numCache>
                <c:formatCode>General</c:formatCode>
                <c:ptCount val="5"/>
                <c:pt idx="0">
                  <c:v>18</c:v>
                </c:pt>
                <c:pt idx="1">
                  <c:v>24</c:v>
                </c:pt>
                <c:pt idx="2">
                  <c:v>35</c:v>
                </c:pt>
                <c:pt idx="3">
                  <c:v>54</c:v>
                </c:pt>
                <c:pt idx="4">
                  <c:v>65</c:v>
                </c:pt>
              </c:numCache>
            </c:numRef>
          </c:val>
        </c:ser>
        <c:axId val="89980928"/>
        <c:axId val="89982848"/>
      </c:barChart>
      <c:catAx>
        <c:axId val="89980928"/>
        <c:scaling>
          <c:orientation val="minMax"/>
        </c:scaling>
        <c:axPos val="b"/>
        <c:title>
          <c:tx>
            <c:rich>
              <a:bodyPr/>
              <a:lstStyle/>
              <a:p>
                <a:pPr>
                  <a:defRPr sz="1200"/>
                </a:pPr>
                <a:r>
                  <a:rPr lang="en-US" sz="1200"/>
                  <a:t>Not Satisfied                                                       Very Satisfied</a:t>
                </a:r>
              </a:p>
            </c:rich>
          </c:tx>
        </c:title>
        <c:numFmt formatCode="General" sourceLinked="1"/>
        <c:tickLblPos val="nextTo"/>
        <c:crossAx val="89982848"/>
        <c:crosses val="autoZero"/>
        <c:auto val="1"/>
        <c:lblAlgn val="ctr"/>
        <c:lblOffset val="100"/>
      </c:catAx>
      <c:valAx>
        <c:axId val="89982848"/>
        <c:scaling>
          <c:orientation val="minMax"/>
        </c:scaling>
        <c:axPos val="l"/>
        <c:majorGridlines/>
        <c:title>
          <c:tx>
            <c:rich>
              <a:bodyPr rot="-5400000" vert="horz"/>
              <a:lstStyle/>
              <a:p>
                <a:pPr>
                  <a:defRPr sz="1200"/>
                </a:pPr>
                <a:r>
                  <a:rPr lang="en-US" sz="1200"/>
                  <a:t>Number of respondents</a:t>
                </a:r>
              </a:p>
            </c:rich>
          </c:tx>
        </c:title>
        <c:numFmt formatCode="General" sourceLinked="1"/>
        <c:tickLblPos val="nextTo"/>
        <c:crossAx val="89980928"/>
        <c:crosses val="autoZero"/>
        <c:crossBetween val="between"/>
      </c:valAx>
    </c:plotArea>
    <c:plotVisOnly val="1"/>
    <c:dispBlanksAs val="gap"/>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1"/>
  <c:chart>
    <c:autoTitleDeleted val="1"/>
    <c:plotArea>
      <c:layout/>
      <c:barChart>
        <c:barDir val="col"/>
        <c:grouping val="clustered"/>
        <c:ser>
          <c:idx val="0"/>
          <c:order val="0"/>
          <c:tx>
            <c:strRef>
              <c:f>Sheet2!$C$21</c:f>
              <c:strCache>
                <c:ptCount val="1"/>
                <c:pt idx="0">
                  <c:v>Q5</c:v>
                </c:pt>
              </c:strCache>
            </c:strRef>
          </c:tx>
          <c:val>
            <c:numRef>
              <c:f>Sheet2!$C$22:$C$26</c:f>
              <c:numCache>
                <c:formatCode>General</c:formatCode>
                <c:ptCount val="5"/>
                <c:pt idx="0">
                  <c:v>17</c:v>
                </c:pt>
                <c:pt idx="1">
                  <c:v>21</c:v>
                </c:pt>
                <c:pt idx="2">
                  <c:v>44</c:v>
                </c:pt>
                <c:pt idx="3">
                  <c:v>41</c:v>
                </c:pt>
                <c:pt idx="4">
                  <c:v>65</c:v>
                </c:pt>
              </c:numCache>
            </c:numRef>
          </c:val>
        </c:ser>
        <c:axId val="90023040"/>
        <c:axId val="90024960"/>
      </c:barChart>
      <c:catAx>
        <c:axId val="90023040"/>
        <c:scaling>
          <c:orientation val="minMax"/>
        </c:scaling>
        <c:axPos val="b"/>
        <c:title>
          <c:tx>
            <c:rich>
              <a:bodyPr/>
              <a:lstStyle/>
              <a:p>
                <a:pPr>
                  <a:defRPr sz="1200"/>
                </a:pPr>
                <a:r>
                  <a:rPr lang="en-US" sz="1200" b="1" i="0" baseline="0"/>
                  <a:t>Not Satisfied                                                       Very Satisfied</a:t>
                </a:r>
                <a:endParaRPr lang="en-US" sz="1200"/>
              </a:p>
            </c:rich>
          </c:tx>
        </c:title>
        <c:numFmt formatCode="General" sourceLinked="1"/>
        <c:tickLblPos val="nextTo"/>
        <c:crossAx val="90024960"/>
        <c:crosses val="autoZero"/>
        <c:auto val="1"/>
        <c:lblAlgn val="ctr"/>
        <c:lblOffset val="100"/>
      </c:catAx>
      <c:valAx>
        <c:axId val="90024960"/>
        <c:scaling>
          <c:orientation val="minMax"/>
        </c:scaling>
        <c:axPos val="l"/>
        <c:majorGridlines/>
        <c:title>
          <c:tx>
            <c:rich>
              <a:bodyPr rot="-5400000" vert="horz"/>
              <a:lstStyle/>
              <a:p>
                <a:pPr>
                  <a:defRPr sz="1200"/>
                </a:pPr>
                <a:r>
                  <a:rPr lang="en-US" sz="1200"/>
                  <a:t>Number of respondents</a:t>
                </a:r>
              </a:p>
            </c:rich>
          </c:tx>
        </c:title>
        <c:numFmt formatCode="General" sourceLinked="1"/>
        <c:tickLblPos val="nextTo"/>
        <c:crossAx val="90023040"/>
        <c:crosses val="autoZero"/>
        <c:crossBetween val="between"/>
      </c:valAx>
    </c:plotArea>
    <c:plotVisOnly val="1"/>
    <c:dispBlanksAs val="gap"/>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1"/>
  <c:chart>
    <c:autoTitleDeleted val="1"/>
    <c:plotArea>
      <c:layout/>
      <c:barChart>
        <c:barDir val="col"/>
        <c:grouping val="clustered"/>
        <c:ser>
          <c:idx val="0"/>
          <c:order val="0"/>
          <c:tx>
            <c:strRef>
              <c:f>Sheet2!$B$49</c:f>
              <c:strCache>
                <c:ptCount val="1"/>
                <c:pt idx="0">
                  <c:v>#</c:v>
                </c:pt>
              </c:strCache>
            </c:strRef>
          </c:tx>
          <c:cat>
            <c:strRef>
              <c:f>Sheet2!$A$50:$A$53</c:f>
              <c:strCache>
                <c:ptCount val="4"/>
                <c:pt idx="0">
                  <c:v>Very deficient</c:v>
                </c:pt>
                <c:pt idx="1">
                  <c:v>Slightly below demand</c:v>
                </c:pt>
                <c:pt idx="2">
                  <c:v>Just enough</c:v>
                </c:pt>
                <c:pt idx="3">
                  <c:v>Very available and accessible</c:v>
                </c:pt>
              </c:strCache>
            </c:strRef>
          </c:cat>
          <c:val>
            <c:numRef>
              <c:f>Sheet2!$B$50:$B$53</c:f>
              <c:numCache>
                <c:formatCode>General</c:formatCode>
                <c:ptCount val="4"/>
                <c:pt idx="0">
                  <c:v>212</c:v>
                </c:pt>
                <c:pt idx="1">
                  <c:v>80</c:v>
                </c:pt>
                <c:pt idx="2">
                  <c:v>82</c:v>
                </c:pt>
                <c:pt idx="3">
                  <c:v>33</c:v>
                </c:pt>
              </c:numCache>
            </c:numRef>
          </c:val>
        </c:ser>
        <c:axId val="90036480"/>
        <c:axId val="98439168"/>
      </c:barChart>
      <c:catAx>
        <c:axId val="90036480"/>
        <c:scaling>
          <c:orientation val="minMax"/>
        </c:scaling>
        <c:axPos val="b"/>
        <c:numFmt formatCode="General" sourceLinked="1"/>
        <c:tickLblPos val="nextTo"/>
        <c:crossAx val="98439168"/>
        <c:crosses val="autoZero"/>
        <c:auto val="1"/>
        <c:lblAlgn val="ctr"/>
        <c:lblOffset val="100"/>
      </c:catAx>
      <c:valAx>
        <c:axId val="98439168"/>
        <c:scaling>
          <c:orientation val="minMax"/>
        </c:scaling>
        <c:axPos val="l"/>
        <c:majorGridlines/>
        <c:title>
          <c:tx>
            <c:rich>
              <a:bodyPr rot="-5400000" vert="horz"/>
              <a:lstStyle/>
              <a:p>
                <a:pPr>
                  <a:defRPr/>
                </a:pPr>
                <a:r>
                  <a:rPr lang="en-US"/>
                  <a:t>Number of respondents</a:t>
                </a:r>
              </a:p>
            </c:rich>
          </c:tx>
        </c:title>
        <c:numFmt formatCode="General" sourceLinked="1"/>
        <c:tickLblPos val="nextTo"/>
        <c:crossAx val="90036480"/>
        <c:crosses val="autoZero"/>
        <c:crossBetween val="between"/>
      </c:valAx>
    </c:plotArea>
    <c:plotVisOnly val="1"/>
    <c:dispBlanksAs val="gap"/>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style val="1"/>
  <c:chart>
    <c:autoTitleDeleted val="1"/>
    <c:plotArea>
      <c:layout/>
      <c:barChart>
        <c:barDir val="col"/>
        <c:grouping val="clustered"/>
        <c:ser>
          <c:idx val="0"/>
          <c:order val="0"/>
          <c:tx>
            <c:strRef>
              <c:f>Sheet2!$B$67</c:f>
              <c:strCache>
                <c:ptCount val="1"/>
                <c:pt idx="0">
                  <c:v>Avg rank</c:v>
                </c:pt>
              </c:strCache>
            </c:strRef>
          </c:tx>
          <c:cat>
            <c:strRef>
              <c:f>Sheet2!$A$68:$A$73</c:f>
              <c:strCache>
                <c:ptCount val="6"/>
                <c:pt idx="0">
                  <c:v>Local County</c:v>
                </c:pt>
                <c:pt idx="1">
                  <c:v>Adjacent Counties</c:v>
                </c:pt>
                <c:pt idx="2">
                  <c:v>Bay Area</c:v>
                </c:pt>
                <c:pt idx="3">
                  <c:v>Sacramento Region</c:v>
                </c:pt>
                <c:pt idx="4">
                  <c:v>Internet Sales</c:v>
                </c:pt>
                <c:pt idx="5">
                  <c:v>S. Calif.</c:v>
                </c:pt>
              </c:strCache>
            </c:strRef>
          </c:cat>
          <c:val>
            <c:numRef>
              <c:f>Sheet2!$B$68:$B$73</c:f>
              <c:numCache>
                <c:formatCode>General</c:formatCode>
                <c:ptCount val="6"/>
                <c:pt idx="0">
                  <c:v>4.7</c:v>
                </c:pt>
                <c:pt idx="1">
                  <c:v>3.9</c:v>
                </c:pt>
                <c:pt idx="2">
                  <c:v>3.4</c:v>
                </c:pt>
                <c:pt idx="3">
                  <c:v>3.2</c:v>
                </c:pt>
                <c:pt idx="4">
                  <c:v>2.2000000000000002</c:v>
                </c:pt>
                <c:pt idx="5">
                  <c:v>2</c:v>
                </c:pt>
              </c:numCache>
            </c:numRef>
          </c:val>
        </c:ser>
        <c:axId val="98446336"/>
        <c:axId val="98448128"/>
      </c:barChart>
      <c:catAx>
        <c:axId val="98446336"/>
        <c:scaling>
          <c:orientation val="minMax"/>
        </c:scaling>
        <c:axPos val="b"/>
        <c:numFmt formatCode="General" sourceLinked="1"/>
        <c:tickLblPos val="nextTo"/>
        <c:crossAx val="98448128"/>
        <c:crosses val="autoZero"/>
        <c:auto val="1"/>
        <c:lblAlgn val="ctr"/>
        <c:lblOffset val="100"/>
      </c:catAx>
      <c:valAx>
        <c:axId val="98448128"/>
        <c:scaling>
          <c:orientation val="minMax"/>
        </c:scaling>
        <c:axPos val="l"/>
        <c:majorGridlines/>
        <c:title>
          <c:tx>
            <c:rich>
              <a:bodyPr rot="-5400000" vert="horz"/>
              <a:lstStyle/>
              <a:p>
                <a:pPr>
                  <a:defRPr/>
                </a:pPr>
                <a:r>
                  <a:rPr lang="en-US"/>
                  <a:t>Average Rank (1=low priority, 5=high priority)</a:t>
                </a:r>
              </a:p>
            </c:rich>
          </c:tx>
        </c:title>
        <c:numFmt formatCode="General" sourceLinked="1"/>
        <c:tickLblPos val="nextTo"/>
        <c:crossAx val="98446336"/>
        <c:crosses val="autoZero"/>
        <c:crossBetween val="between"/>
      </c:valAx>
    </c:plotArea>
    <c:plotVisOnly val="1"/>
    <c:dispBlanksAs val="gap"/>
  </c:chart>
  <c:spPr>
    <a:ln>
      <a:no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style val="1"/>
  <c:chart>
    <c:autoTitleDeleted val="1"/>
    <c:plotArea>
      <c:layout/>
      <c:barChart>
        <c:barDir val="col"/>
        <c:grouping val="clustered"/>
        <c:ser>
          <c:idx val="0"/>
          <c:order val="0"/>
          <c:tx>
            <c:strRef>
              <c:f>Sheet2!$B$87</c:f>
              <c:strCache>
                <c:ptCount val="1"/>
                <c:pt idx="0">
                  <c:v>#</c:v>
                </c:pt>
              </c:strCache>
            </c:strRef>
          </c:tx>
          <c:cat>
            <c:strRef>
              <c:f>Sheet2!$A$88:$A$94</c:f>
              <c:strCache>
                <c:ptCount val="7"/>
                <c:pt idx="0">
                  <c:v>0-15</c:v>
                </c:pt>
                <c:pt idx="1">
                  <c:v>16-30</c:v>
                </c:pt>
                <c:pt idx="2">
                  <c:v>31-60</c:v>
                </c:pt>
                <c:pt idx="3">
                  <c:v>61-90</c:v>
                </c:pt>
                <c:pt idx="4">
                  <c:v>91-120</c:v>
                </c:pt>
                <c:pt idx="5">
                  <c:v>121-180</c:v>
                </c:pt>
                <c:pt idx="6">
                  <c:v>&gt;180</c:v>
                </c:pt>
              </c:strCache>
            </c:strRef>
          </c:cat>
          <c:val>
            <c:numRef>
              <c:f>Sheet2!$B$88:$B$94</c:f>
              <c:numCache>
                <c:formatCode>General</c:formatCode>
                <c:ptCount val="7"/>
                <c:pt idx="0">
                  <c:v>6</c:v>
                </c:pt>
                <c:pt idx="1">
                  <c:v>25</c:v>
                </c:pt>
                <c:pt idx="2">
                  <c:v>97</c:v>
                </c:pt>
                <c:pt idx="3">
                  <c:v>76</c:v>
                </c:pt>
                <c:pt idx="4">
                  <c:v>43</c:v>
                </c:pt>
                <c:pt idx="5">
                  <c:v>23</c:v>
                </c:pt>
                <c:pt idx="6">
                  <c:v>12</c:v>
                </c:pt>
              </c:numCache>
            </c:numRef>
          </c:val>
        </c:ser>
        <c:axId val="98488320"/>
        <c:axId val="98490240"/>
      </c:barChart>
      <c:catAx>
        <c:axId val="98488320"/>
        <c:scaling>
          <c:orientation val="minMax"/>
        </c:scaling>
        <c:axPos val="b"/>
        <c:title>
          <c:tx>
            <c:rich>
              <a:bodyPr/>
              <a:lstStyle/>
              <a:p>
                <a:pPr>
                  <a:defRPr/>
                </a:pPr>
                <a:r>
                  <a:rPr lang="en-US"/>
                  <a:t>Travel time (minutes)</a:t>
                </a:r>
              </a:p>
            </c:rich>
          </c:tx>
        </c:title>
        <c:numFmt formatCode="General" sourceLinked="1"/>
        <c:tickLblPos val="nextTo"/>
        <c:crossAx val="98490240"/>
        <c:crosses val="autoZero"/>
        <c:auto val="1"/>
        <c:lblAlgn val="ctr"/>
        <c:lblOffset val="100"/>
      </c:catAx>
      <c:valAx>
        <c:axId val="98490240"/>
        <c:scaling>
          <c:orientation val="minMax"/>
        </c:scaling>
        <c:axPos val="l"/>
        <c:majorGridlines/>
        <c:title>
          <c:tx>
            <c:rich>
              <a:bodyPr rot="-5400000" vert="horz"/>
              <a:lstStyle/>
              <a:p>
                <a:pPr>
                  <a:defRPr/>
                </a:pPr>
                <a:r>
                  <a:rPr lang="en-US"/>
                  <a:t>Number of respondents</a:t>
                </a:r>
              </a:p>
            </c:rich>
          </c:tx>
        </c:title>
        <c:numFmt formatCode="General" sourceLinked="1"/>
        <c:tickLblPos val="nextTo"/>
        <c:crossAx val="98488320"/>
        <c:crosses val="autoZero"/>
        <c:crossBetween val="between"/>
      </c:valAx>
    </c:plotArea>
    <c:plotVisOnly val="1"/>
    <c:dispBlanksAs val="gap"/>
  </c:chart>
  <c:spPr>
    <a:ln>
      <a:noFill/>
    </a:ln>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style val="1"/>
  <c:chart>
    <c:plotArea>
      <c:layout/>
      <c:lineChart>
        <c:grouping val="standard"/>
        <c:ser>
          <c:idx val="0"/>
          <c:order val="0"/>
          <c:tx>
            <c:strRef>
              <c:f>Sheet2!$A$106</c:f>
              <c:strCache>
                <c:ptCount val="1"/>
                <c:pt idx="0">
                  <c:v>Steers/heifers</c:v>
                </c:pt>
              </c:strCache>
            </c:strRef>
          </c:tx>
          <c:marker>
            <c:symbol val="none"/>
          </c:marker>
          <c:cat>
            <c:strRef>
              <c:f>Sheet2!$B$105:$M$105</c:f>
              <c:strCache>
                <c:ptCount val="12"/>
                <c:pt idx="0">
                  <c:v>Jan</c:v>
                </c:pt>
                <c:pt idx="1">
                  <c:v>Feb</c:v>
                </c:pt>
                <c:pt idx="2">
                  <c:v>Mar</c:v>
                </c:pt>
                <c:pt idx="3">
                  <c:v>Apr</c:v>
                </c:pt>
                <c:pt idx="4">
                  <c:v>May</c:v>
                </c:pt>
                <c:pt idx="5">
                  <c:v>Jun</c:v>
                </c:pt>
                <c:pt idx="6">
                  <c:v>Jul</c:v>
                </c:pt>
                <c:pt idx="7">
                  <c:v>Aug</c:v>
                </c:pt>
                <c:pt idx="8">
                  <c:v>Sept</c:v>
                </c:pt>
                <c:pt idx="9">
                  <c:v>Oct</c:v>
                </c:pt>
                <c:pt idx="10">
                  <c:v>Nov</c:v>
                </c:pt>
                <c:pt idx="11">
                  <c:v>Dec</c:v>
                </c:pt>
              </c:strCache>
            </c:strRef>
          </c:cat>
          <c:val>
            <c:numRef>
              <c:f>Sheet2!$B$106:$M$106</c:f>
              <c:numCache>
                <c:formatCode>_(* #,##0_);_(* \(#,##0\);_(* "-"??_);_(@_)</c:formatCode>
                <c:ptCount val="12"/>
                <c:pt idx="0">
                  <c:v>392</c:v>
                </c:pt>
                <c:pt idx="1">
                  <c:v>264</c:v>
                </c:pt>
                <c:pt idx="2">
                  <c:v>767</c:v>
                </c:pt>
                <c:pt idx="3">
                  <c:v>843</c:v>
                </c:pt>
                <c:pt idx="4">
                  <c:v>2290</c:v>
                </c:pt>
                <c:pt idx="5">
                  <c:v>1806</c:v>
                </c:pt>
                <c:pt idx="6">
                  <c:v>1239</c:v>
                </c:pt>
                <c:pt idx="7">
                  <c:v>925</c:v>
                </c:pt>
                <c:pt idx="8">
                  <c:v>1170</c:v>
                </c:pt>
                <c:pt idx="9">
                  <c:v>1507</c:v>
                </c:pt>
                <c:pt idx="10">
                  <c:v>1863</c:v>
                </c:pt>
                <c:pt idx="11">
                  <c:v>1779</c:v>
                </c:pt>
              </c:numCache>
            </c:numRef>
          </c:val>
        </c:ser>
        <c:ser>
          <c:idx val="1"/>
          <c:order val="1"/>
          <c:tx>
            <c:strRef>
              <c:f>Sheet2!$A$107</c:f>
              <c:strCache>
                <c:ptCount val="1"/>
                <c:pt idx="0">
                  <c:v>Lambs</c:v>
                </c:pt>
              </c:strCache>
            </c:strRef>
          </c:tx>
          <c:spPr>
            <a:ln>
              <a:prstDash val="sysDash"/>
            </a:ln>
          </c:spPr>
          <c:marker>
            <c:symbol val="none"/>
          </c:marker>
          <c:cat>
            <c:strRef>
              <c:f>Sheet2!$B$105:$M$105</c:f>
              <c:strCache>
                <c:ptCount val="12"/>
                <c:pt idx="0">
                  <c:v>Jan</c:v>
                </c:pt>
                <c:pt idx="1">
                  <c:v>Feb</c:v>
                </c:pt>
                <c:pt idx="2">
                  <c:v>Mar</c:v>
                </c:pt>
                <c:pt idx="3">
                  <c:v>Apr</c:v>
                </c:pt>
                <c:pt idx="4">
                  <c:v>May</c:v>
                </c:pt>
                <c:pt idx="5">
                  <c:v>Jun</c:v>
                </c:pt>
                <c:pt idx="6">
                  <c:v>Jul</c:v>
                </c:pt>
                <c:pt idx="7">
                  <c:v>Aug</c:v>
                </c:pt>
                <c:pt idx="8">
                  <c:v>Sept</c:v>
                </c:pt>
                <c:pt idx="9">
                  <c:v>Oct</c:v>
                </c:pt>
                <c:pt idx="10">
                  <c:v>Nov</c:v>
                </c:pt>
                <c:pt idx="11">
                  <c:v>Dec</c:v>
                </c:pt>
              </c:strCache>
            </c:strRef>
          </c:cat>
          <c:val>
            <c:numRef>
              <c:f>Sheet2!$B$107:$M$107</c:f>
              <c:numCache>
                <c:formatCode>_(* #,##0_);_(* \(#,##0\);_(* "-"??_);_(@_)</c:formatCode>
                <c:ptCount val="12"/>
                <c:pt idx="0">
                  <c:v>156</c:v>
                </c:pt>
                <c:pt idx="1">
                  <c:v>136</c:v>
                </c:pt>
                <c:pt idx="2">
                  <c:v>354</c:v>
                </c:pt>
                <c:pt idx="3">
                  <c:v>338</c:v>
                </c:pt>
                <c:pt idx="4">
                  <c:v>365</c:v>
                </c:pt>
                <c:pt idx="5">
                  <c:v>753</c:v>
                </c:pt>
                <c:pt idx="6">
                  <c:v>594</c:v>
                </c:pt>
                <c:pt idx="7">
                  <c:v>832</c:v>
                </c:pt>
                <c:pt idx="8">
                  <c:v>900</c:v>
                </c:pt>
                <c:pt idx="9">
                  <c:v>658</c:v>
                </c:pt>
                <c:pt idx="10">
                  <c:v>1084</c:v>
                </c:pt>
                <c:pt idx="11">
                  <c:v>1462</c:v>
                </c:pt>
              </c:numCache>
            </c:numRef>
          </c:val>
        </c:ser>
        <c:ser>
          <c:idx val="2"/>
          <c:order val="2"/>
          <c:tx>
            <c:strRef>
              <c:f>Sheet2!$A$108</c:f>
              <c:strCache>
                <c:ptCount val="1"/>
                <c:pt idx="0">
                  <c:v>Goats</c:v>
                </c:pt>
              </c:strCache>
            </c:strRef>
          </c:tx>
          <c:spPr>
            <a:ln>
              <a:prstDash val="lgDash"/>
            </a:ln>
          </c:spPr>
          <c:marker>
            <c:symbol val="none"/>
          </c:marker>
          <c:cat>
            <c:strRef>
              <c:f>Sheet2!$B$105:$M$105</c:f>
              <c:strCache>
                <c:ptCount val="12"/>
                <c:pt idx="0">
                  <c:v>Jan</c:v>
                </c:pt>
                <c:pt idx="1">
                  <c:v>Feb</c:v>
                </c:pt>
                <c:pt idx="2">
                  <c:v>Mar</c:v>
                </c:pt>
                <c:pt idx="3">
                  <c:v>Apr</c:v>
                </c:pt>
                <c:pt idx="4">
                  <c:v>May</c:v>
                </c:pt>
                <c:pt idx="5">
                  <c:v>Jun</c:v>
                </c:pt>
                <c:pt idx="6">
                  <c:v>Jul</c:v>
                </c:pt>
                <c:pt idx="7">
                  <c:v>Aug</c:v>
                </c:pt>
                <c:pt idx="8">
                  <c:v>Sept</c:v>
                </c:pt>
                <c:pt idx="9">
                  <c:v>Oct</c:v>
                </c:pt>
                <c:pt idx="10">
                  <c:v>Nov</c:v>
                </c:pt>
                <c:pt idx="11">
                  <c:v>Dec</c:v>
                </c:pt>
              </c:strCache>
            </c:strRef>
          </c:cat>
          <c:val>
            <c:numRef>
              <c:f>Sheet2!$B$108:$M$108</c:f>
              <c:numCache>
                <c:formatCode>_(* #,##0_);_(* \(#,##0\);_(* "-"??_);_(@_)</c:formatCode>
                <c:ptCount val="12"/>
                <c:pt idx="0">
                  <c:v>1</c:v>
                </c:pt>
                <c:pt idx="1">
                  <c:v>1</c:v>
                </c:pt>
                <c:pt idx="2">
                  <c:v>1</c:v>
                </c:pt>
                <c:pt idx="3">
                  <c:v>120</c:v>
                </c:pt>
                <c:pt idx="4">
                  <c:v>166</c:v>
                </c:pt>
                <c:pt idx="5">
                  <c:v>265</c:v>
                </c:pt>
                <c:pt idx="6">
                  <c:v>89</c:v>
                </c:pt>
                <c:pt idx="7">
                  <c:v>78</c:v>
                </c:pt>
                <c:pt idx="8">
                  <c:v>80</c:v>
                </c:pt>
                <c:pt idx="9">
                  <c:v>145</c:v>
                </c:pt>
                <c:pt idx="10">
                  <c:v>225</c:v>
                </c:pt>
                <c:pt idx="11">
                  <c:v>50</c:v>
                </c:pt>
              </c:numCache>
            </c:numRef>
          </c:val>
        </c:ser>
        <c:ser>
          <c:idx val="3"/>
          <c:order val="3"/>
          <c:tx>
            <c:strRef>
              <c:f>Sheet2!$A$109</c:f>
              <c:strCache>
                <c:ptCount val="1"/>
                <c:pt idx="0">
                  <c:v>Hogs</c:v>
                </c:pt>
              </c:strCache>
            </c:strRef>
          </c:tx>
          <c:spPr>
            <a:ln>
              <a:prstDash val="sysDot"/>
            </a:ln>
          </c:spPr>
          <c:marker>
            <c:symbol val="none"/>
          </c:marker>
          <c:cat>
            <c:strRef>
              <c:f>Sheet2!$B$105:$M$105</c:f>
              <c:strCache>
                <c:ptCount val="12"/>
                <c:pt idx="0">
                  <c:v>Jan</c:v>
                </c:pt>
                <c:pt idx="1">
                  <c:v>Feb</c:v>
                </c:pt>
                <c:pt idx="2">
                  <c:v>Mar</c:v>
                </c:pt>
                <c:pt idx="3">
                  <c:v>Apr</c:v>
                </c:pt>
                <c:pt idx="4">
                  <c:v>May</c:v>
                </c:pt>
                <c:pt idx="5">
                  <c:v>Jun</c:v>
                </c:pt>
                <c:pt idx="6">
                  <c:v>Jul</c:v>
                </c:pt>
                <c:pt idx="7">
                  <c:v>Aug</c:v>
                </c:pt>
                <c:pt idx="8">
                  <c:v>Sept</c:v>
                </c:pt>
                <c:pt idx="9">
                  <c:v>Oct</c:v>
                </c:pt>
                <c:pt idx="10">
                  <c:v>Nov</c:v>
                </c:pt>
                <c:pt idx="11">
                  <c:v>Dec</c:v>
                </c:pt>
              </c:strCache>
            </c:strRef>
          </c:cat>
          <c:val>
            <c:numRef>
              <c:f>Sheet2!$B$109:$M$109</c:f>
              <c:numCache>
                <c:formatCode>_(* #,##0_);_(* \(#,##0\);_(* "-"??_);_(@_)</c:formatCode>
                <c:ptCount val="12"/>
                <c:pt idx="0">
                  <c:v>150</c:v>
                </c:pt>
                <c:pt idx="1">
                  <c:v>150</c:v>
                </c:pt>
                <c:pt idx="2">
                  <c:v>153</c:v>
                </c:pt>
                <c:pt idx="3">
                  <c:v>150</c:v>
                </c:pt>
                <c:pt idx="4">
                  <c:v>176</c:v>
                </c:pt>
                <c:pt idx="5">
                  <c:v>153</c:v>
                </c:pt>
                <c:pt idx="6">
                  <c:v>152</c:v>
                </c:pt>
                <c:pt idx="7">
                  <c:v>174</c:v>
                </c:pt>
                <c:pt idx="8">
                  <c:v>150</c:v>
                </c:pt>
                <c:pt idx="9">
                  <c:v>154</c:v>
                </c:pt>
                <c:pt idx="10">
                  <c:v>220</c:v>
                </c:pt>
                <c:pt idx="11">
                  <c:v>203</c:v>
                </c:pt>
              </c:numCache>
            </c:numRef>
          </c:val>
        </c:ser>
        <c:marker val="1"/>
        <c:axId val="99229056"/>
        <c:axId val="99230848"/>
      </c:lineChart>
      <c:catAx>
        <c:axId val="99229056"/>
        <c:scaling>
          <c:orientation val="minMax"/>
        </c:scaling>
        <c:axPos val="b"/>
        <c:tickLblPos val="nextTo"/>
        <c:crossAx val="99230848"/>
        <c:crosses val="autoZero"/>
        <c:auto val="1"/>
        <c:lblAlgn val="ctr"/>
        <c:lblOffset val="100"/>
      </c:catAx>
      <c:valAx>
        <c:axId val="99230848"/>
        <c:scaling>
          <c:orientation val="minMax"/>
        </c:scaling>
        <c:axPos val="l"/>
        <c:majorGridlines/>
        <c:title>
          <c:tx>
            <c:rich>
              <a:bodyPr rot="-5400000" vert="horz"/>
              <a:lstStyle/>
              <a:p>
                <a:pPr>
                  <a:defRPr/>
                </a:pPr>
                <a:r>
                  <a:rPr lang="en-US"/>
                  <a:t>Number of animals</a:t>
                </a:r>
              </a:p>
            </c:rich>
          </c:tx>
        </c:title>
        <c:numFmt formatCode="_(* #,##0_);_(* \(#,##0\);_(* &quot;-&quot;??_);_(@_)" sourceLinked="1"/>
        <c:tickLblPos val="nextTo"/>
        <c:crossAx val="99229056"/>
        <c:crosses val="autoZero"/>
        <c:crossBetween val="between"/>
      </c:valAx>
    </c:plotArea>
    <c:legend>
      <c:legendPos val="r"/>
    </c:legend>
    <c:plotVisOnly val="1"/>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918</TotalTime>
  <Pages>13</Pages>
  <Words>3277</Words>
  <Characters>18683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Doran</dc:creator>
  <cp:lastModifiedBy>Morgan Doran</cp:lastModifiedBy>
  <cp:revision>32</cp:revision>
  <cp:lastPrinted>2007-09-19T23:33:00Z</cp:lastPrinted>
  <dcterms:created xsi:type="dcterms:W3CDTF">2007-09-11T22:43:00Z</dcterms:created>
  <dcterms:modified xsi:type="dcterms:W3CDTF">2007-11-05T22:49:00Z</dcterms:modified>
</cp:coreProperties>
</file>