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2" w:rsidRPr="00A931BA" w:rsidRDefault="008F40B2" w:rsidP="008F40B2">
      <w:pPr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GoBack"/>
      <w:r w:rsidRPr="00A931BA">
        <w:rPr>
          <w:rFonts w:ascii="Century Gothic" w:hAnsi="Century Gothic"/>
          <w:b/>
          <w:bCs/>
          <w:sz w:val="32"/>
          <w:szCs w:val="32"/>
        </w:rPr>
        <w:t>Pesticide Alternatives to Protect our Watershed</w:t>
      </w:r>
    </w:p>
    <w:bookmarkEnd w:id="0"/>
    <w:p w:rsidR="008E2429" w:rsidRDefault="008F40B2" w:rsidP="008F40B2">
      <w:pPr>
        <w:jc w:val="center"/>
        <w:rPr>
          <w:bCs/>
          <w:i/>
          <w:szCs w:val="24"/>
        </w:rPr>
      </w:pPr>
      <w:r w:rsidRPr="00915A19">
        <w:rPr>
          <w:bCs/>
          <w:i/>
          <w:szCs w:val="24"/>
        </w:rPr>
        <w:t xml:space="preserve">Cindy Fake, UC Cooperative Extension Farm Advisor, Placer </w:t>
      </w:r>
      <w:r w:rsidR="00355D9E">
        <w:rPr>
          <w:bCs/>
          <w:i/>
          <w:szCs w:val="24"/>
        </w:rPr>
        <w:t>&amp;</w:t>
      </w:r>
      <w:r w:rsidRPr="00915A19">
        <w:rPr>
          <w:bCs/>
          <w:i/>
          <w:szCs w:val="24"/>
        </w:rPr>
        <w:t xml:space="preserve"> Nevada Counties</w:t>
      </w:r>
    </w:p>
    <w:p w:rsidR="008F40B2" w:rsidRPr="00915A19" w:rsidRDefault="008E2429" w:rsidP="008F40B2">
      <w:pPr>
        <w:jc w:val="center"/>
        <w:rPr>
          <w:rFonts w:ascii="Century Gothic" w:hAnsi="Century Gothic"/>
          <w:bCs/>
          <w:i/>
          <w:sz w:val="36"/>
          <w:szCs w:val="36"/>
        </w:rPr>
      </w:pPr>
      <w:r>
        <w:rPr>
          <w:bCs/>
          <w:i/>
          <w:szCs w:val="24"/>
        </w:rPr>
        <w:t>Janine Hasey,</w:t>
      </w:r>
      <w:r w:rsidR="008F40B2" w:rsidRPr="00915A19">
        <w:rPr>
          <w:rFonts w:ascii="Century Gothic" w:hAnsi="Century Gothic"/>
          <w:bCs/>
          <w:i/>
          <w:sz w:val="36"/>
          <w:szCs w:val="36"/>
        </w:rPr>
        <w:t xml:space="preserve"> </w:t>
      </w:r>
      <w:r w:rsidRPr="00915A19">
        <w:rPr>
          <w:bCs/>
          <w:i/>
          <w:szCs w:val="24"/>
        </w:rPr>
        <w:t>UC Cooperative Extension Farm Advisor</w:t>
      </w:r>
      <w:r>
        <w:rPr>
          <w:bCs/>
          <w:i/>
          <w:szCs w:val="24"/>
        </w:rPr>
        <w:t>, Sutter/Yuba/Colusa Counties (revised walnut</w:t>
      </w:r>
      <w:r w:rsidR="00355D9E">
        <w:rPr>
          <w:bCs/>
          <w:i/>
          <w:szCs w:val="24"/>
        </w:rPr>
        <w:t>/peach</w:t>
      </w:r>
      <w:r>
        <w:rPr>
          <w:bCs/>
          <w:i/>
          <w:szCs w:val="24"/>
        </w:rPr>
        <w:t>, 2/2013)</w:t>
      </w:r>
    </w:p>
    <w:p w:rsidR="008F40B2" w:rsidRPr="007C3764" w:rsidRDefault="008F40B2" w:rsidP="008F40B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:rsidR="00AA37E9" w:rsidRDefault="00AA37E9" w:rsidP="00AA37E9">
      <w:r w:rsidRPr="002529D3">
        <w:rPr>
          <w:sz w:val="22"/>
          <w:szCs w:val="22"/>
        </w:rPr>
        <w:t xml:space="preserve">Diazinon and </w:t>
      </w:r>
      <w:proofErr w:type="spellStart"/>
      <w:r w:rsidRPr="002529D3">
        <w:rPr>
          <w:sz w:val="22"/>
          <w:szCs w:val="22"/>
        </w:rPr>
        <w:t>chlorpyrifos</w:t>
      </w:r>
      <w:proofErr w:type="spellEnd"/>
      <w:r w:rsidRPr="002529D3">
        <w:rPr>
          <w:sz w:val="22"/>
          <w:szCs w:val="22"/>
        </w:rPr>
        <w:t xml:space="preserve"> are organophosphate insecticide</w:t>
      </w:r>
      <w:r>
        <w:rPr>
          <w:sz w:val="22"/>
          <w:szCs w:val="22"/>
        </w:rPr>
        <w:t>s</w:t>
      </w:r>
      <w:r w:rsidRPr="002529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detected in recent PNSSNS </w:t>
      </w:r>
      <w:r w:rsidRPr="002529D3">
        <w:rPr>
          <w:sz w:val="22"/>
          <w:szCs w:val="22"/>
        </w:rPr>
        <w:t>water tests.</w:t>
      </w:r>
      <w:r>
        <w:rPr>
          <w:sz w:val="22"/>
          <w:szCs w:val="22"/>
        </w:rPr>
        <w:t xml:space="preserve">  In this watershed, Chlorpyrifos is </w:t>
      </w:r>
      <w:r w:rsidRPr="002529D3">
        <w:rPr>
          <w:sz w:val="22"/>
          <w:szCs w:val="22"/>
        </w:rPr>
        <w:t>mainly used in walnuts,</w:t>
      </w:r>
      <w:r>
        <w:rPr>
          <w:sz w:val="22"/>
          <w:szCs w:val="22"/>
        </w:rPr>
        <w:t xml:space="preserve"> </w:t>
      </w:r>
      <w:r w:rsidRPr="002529D3">
        <w:rPr>
          <w:sz w:val="22"/>
          <w:szCs w:val="22"/>
        </w:rPr>
        <w:t>occasionally in peaches, plums, citrus, and nursery stock</w:t>
      </w:r>
      <w:r>
        <w:rPr>
          <w:sz w:val="22"/>
          <w:szCs w:val="22"/>
        </w:rPr>
        <w:t xml:space="preserve">.  Diazinon is commonly used for dormant applications on </w:t>
      </w:r>
      <w:proofErr w:type="spellStart"/>
      <w:r>
        <w:rPr>
          <w:sz w:val="22"/>
          <w:szCs w:val="22"/>
        </w:rPr>
        <w:t>stonefruit</w:t>
      </w:r>
      <w:proofErr w:type="spellEnd"/>
      <w:r>
        <w:rPr>
          <w:sz w:val="22"/>
          <w:szCs w:val="22"/>
        </w:rPr>
        <w:t xml:space="preserve">, especially </w:t>
      </w:r>
      <w:r w:rsidRPr="002529D3">
        <w:rPr>
          <w:sz w:val="22"/>
          <w:szCs w:val="22"/>
        </w:rPr>
        <w:t>peaches and plums. A few growers use it on apples and pears.</w:t>
      </w:r>
      <w:r>
        <w:rPr>
          <w:sz w:val="22"/>
          <w:szCs w:val="22"/>
        </w:rPr>
        <w:t xml:space="preserve"> This chart lists effective alternatives to these pesticides.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278"/>
        <w:gridCol w:w="2710"/>
        <w:gridCol w:w="3592"/>
      </w:tblGrid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Crop</w:t>
            </w:r>
          </w:p>
        </w:tc>
        <w:tc>
          <w:tcPr>
            <w:tcW w:w="2430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Pest</w:t>
            </w:r>
          </w:p>
        </w:tc>
        <w:tc>
          <w:tcPr>
            <w:tcW w:w="2970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Chlorpyrifos</w:t>
            </w:r>
          </w:p>
        </w:tc>
        <w:tc>
          <w:tcPr>
            <w:tcW w:w="4050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Diazinon</w:t>
            </w:r>
          </w:p>
        </w:tc>
      </w:tr>
      <w:tr w:rsidR="00AA37E9" w:rsidRPr="004B4025" w:rsidTr="00170D8D">
        <w:trPr>
          <w:trHeight w:val="419"/>
        </w:trPr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 xml:space="preserve">Walnut 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Codling moth</w:t>
            </w:r>
          </w:p>
        </w:tc>
        <w:tc>
          <w:tcPr>
            <w:tcW w:w="2970" w:type="dxa"/>
          </w:tcPr>
          <w:p w:rsidR="00AA37E9" w:rsidRPr="0012711D" w:rsidRDefault="00AA37E9" w:rsidP="007B04C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12711D">
              <w:rPr>
                <w:rFonts w:cs="Arial"/>
                <w:sz w:val="20"/>
              </w:rPr>
              <w:t xml:space="preserve">ating disruption, Delegate, Altacor, </w:t>
            </w:r>
            <w:r w:rsidR="007B04CD">
              <w:rPr>
                <w:rFonts w:cs="Arial"/>
                <w:sz w:val="20"/>
              </w:rPr>
              <w:t>Belt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San Jose</w:t>
            </w:r>
            <w:r w:rsidR="007B04CD">
              <w:rPr>
                <w:rFonts w:cs="Arial"/>
                <w:sz w:val="20"/>
              </w:rPr>
              <w:t xml:space="preserve"> scale</w:t>
            </w:r>
            <w:r w:rsidRPr="0012711D">
              <w:rPr>
                <w:rFonts w:cs="Arial"/>
                <w:sz w:val="20"/>
              </w:rPr>
              <w:t xml:space="preserve">, Walnut scale, European fruit </w:t>
            </w:r>
            <w:proofErr w:type="spellStart"/>
            <w:r w:rsidRPr="0012711D">
              <w:rPr>
                <w:rFonts w:cs="Arial"/>
                <w:sz w:val="20"/>
              </w:rPr>
              <w:t>lecanium</w:t>
            </w:r>
            <w:proofErr w:type="spellEnd"/>
          </w:p>
        </w:tc>
        <w:tc>
          <w:tcPr>
            <w:tcW w:w="2970" w:type="dxa"/>
          </w:tcPr>
          <w:p w:rsidR="00AA37E9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Seize (IGR)</w:t>
            </w:r>
          </w:p>
          <w:p w:rsidR="007B04CD" w:rsidRPr="0012711D" w:rsidRDefault="007B04CD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Oil (delayed dormant, only for organic orchards)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Walnut husk fly</w:t>
            </w:r>
          </w:p>
        </w:tc>
        <w:tc>
          <w:tcPr>
            <w:tcW w:w="2970" w:type="dxa"/>
          </w:tcPr>
          <w:p w:rsidR="00AA37E9" w:rsidRPr="0012711D" w:rsidRDefault="007852F1" w:rsidP="002F652A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Bait + </w:t>
            </w:r>
            <w:proofErr w:type="spellStart"/>
            <w:r>
              <w:rPr>
                <w:rFonts w:cs="Arial"/>
                <w:sz w:val="20"/>
              </w:rPr>
              <w:t>Provado</w:t>
            </w:r>
            <w:proofErr w:type="spellEnd"/>
            <w:r>
              <w:rPr>
                <w:rFonts w:cs="Arial"/>
                <w:sz w:val="20"/>
              </w:rPr>
              <w:t xml:space="preserve">, </w:t>
            </w:r>
            <w:r w:rsidR="00AA37E9" w:rsidRPr="0012711D">
              <w:rPr>
                <w:rFonts w:cs="Arial"/>
                <w:sz w:val="20"/>
              </w:rPr>
              <w:t>Delegate</w:t>
            </w:r>
            <w:r>
              <w:rPr>
                <w:rFonts w:cs="Arial"/>
                <w:sz w:val="20"/>
              </w:rPr>
              <w:t>,</w:t>
            </w:r>
            <w:r w:rsidR="00AA37E9" w:rsidRPr="0012711D">
              <w:rPr>
                <w:rFonts w:cs="Arial"/>
                <w:sz w:val="20"/>
              </w:rPr>
              <w:t xml:space="preserve"> </w:t>
            </w:r>
            <w:proofErr w:type="spellStart"/>
            <w:r w:rsidR="00AA37E9" w:rsidRPr="0012711D">
              <w:rPr>
                <w:rFonts w:cs="Arial"/>
                <w:sz w:val="20"/>
              </w:rPr>
              <w:t>Spinosad</w:t>
            </w:r>
            <w:proofErr w:type="spellEnd"/>
            <w:r>
              <w:rPr>
                <w:rFonts w:cs="Arial"/>
                <w:sz w:val="20"/>
              </w:rPr>
              <w:t xml:space="preserve"> (Entrust or Success)</w:t>
            </w:r>
            <w:r w:rsidR="00E353A2">
              <w:rPr>
                <w:rFonts w:cs="Arial"/>
                <w:sz w:val="20"/>
              </w:rPr>
              <w:t xml:space="preserve"> or Assail</w:t>
            </w:r>
            <w:r>
              <w:rPr>
                <w:rFonts w:cs="Arial"/>
                <w:sz w:val="20"/>
              </w:rPr>
              <w:t>; GF-120</w:t>
            </w:r>
            <w:r w:rsidR="00AA37E9" w:rsidRPr="0012711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Peach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Peach Twig borer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Delayed dormant: oil + Delegate, Entrust</w:t>
            </w:r>
            <w:r w:rsidR="006B57E1">
              <w:rPr>
                <w:rFonts w:cs="Arial"/>
                <w:sz w:val="20"/>
              </w:rPr>
              <w:t xml:space="preserve">, </w:t>
            </w:r>
            <w:r w:rsidRPr="0012711D">
              <w:rPr>
                <w:rFonts w:cs="Arial"/>
                <w:sz w:val="20"/>
              </w:rPr>
              <w:t>Success</w:t>
            </w:r>
            <w:r w:rsidR="006B57E1">
              <w:rPr>
                <w:rFonts w:cs="Arial"/>
                <w:sz w:val="20"/>
              </w:rPr>
              <w:t>, Dimilin or Intrepid</w:t>
            </w:r>
          </w:p>
          <w:p w:rsidR="00AA37E9" w:rsidRPr="0012711D" w:rsidRDefault="00AA37E9" w:rsidP="006B57E1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Bloom time: Dimilin, Delegate, Intrepid, Entrust,</w:t>
            </w:r>
            <w:r w:rsidR="006B57E1">
              <w:rPr>
                <w:rFonts w:cs="Arial"/>
                <w:sz w:val="20"/>
              </w:rPr>
              <w:t xml:space="preserve"> </w:t>
            </w:r>
            <w:r w:rsidRPr="0012711D">
              <w:rPr>
                <w:rFonts w:cs="Arial"/>
                <w:sz w:val="20"/>
              </w:rPr>
              <w:t>Success</w:t>
            </w:r>
            <w:r w:rsidR="006B57E1">
              <w:rPr>
                <w:rFonts w:cs="Arial"/>
                <w:sz w:val="20"/>
              </w:rPr>
              <w:t>, Altacor or BT (</w:t>
            </w:r>
            <w:r w:rsidR="006B57E1" w:rsidRPr="006B57E1">
              <w:rPr>
                <w:rFonts w:cs="Arial"/>
                <w:i/>
                <w:sz w:val="20"/>
              </w:rPr>
              <w:t>Bacillus thuringiensis</w:t>
            </w:r>
            <w:r w:rsidR="006B57E1">
              <w:rPr>
                <w:rFonts w:cs="Arial"/>
                <w:sz w:val="20"/>
              </w:rPr>
              <w:t>)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Peachtree borer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Asana XL, mating disruption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3338C8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Oriental fruit moth</w:t>
            </w:r>
          </w:p>
        </w:tc>
        <w:tc>
          <w:tcPr>
            <w:tcW w:w="2970" w:type="dxa"/>
          </w:tcPr>
          <w:p w:rsidR="00AA37E9" w:rsidRPr="0012711D" w:rsidRDefault="003338C8" w:rsidP="003338C8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12711D">
              <w:rPr>
                <w:rFonts w:cs="Arial"/>
                <w:sz w:val="20"/>
              </w:rPr>
              <w:t>ating disruption</w:t>
            </w:r>
            <w:r w:rsidR="00AA37E9" w:rsidRPr="0012711D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Altacor,</w:t>
            </w:r>
            <w:r w:rsidR="00AA37E9" w:rsidRPr="0012711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Intrepid</w:t>
            </w:r>
            <w:r w:rsidR="00AA37E9" w:rsidRPr="0012711D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Delegate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San Jose scale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  <w:tc>
          <w:tcPr>
            <w:tcW w:w="4050" w:type="dxa"/>
          </w:tcPr>
          <w:p w:rsidR="00AA37E9" w:rsidRPr="0012711D" w:rsidRDefault="00AA37E9" w:rsidP="00170D8D">
            <w:pPr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Dormant: oil</w:t>
            </w:r>
            <w:r>
              <w:rPr>
                <w:rFonts w:cs="Arial"/>
                <w:sz w:val="20"/>
              </w:rPr>
              <w:t>s</w:t>
            </w:r>
            <w:r w:rsidRPr="0012711D">
              <w:rPr>
                <w:rFonts w:cs="Arial"/>
                <w:sz w:val="20"/>
              </w:rPr>
              <w:t xml:space="preserve"> </w:t>
            </w:r>
          </w:p>
          <w:p w:rsidR="00AA37E9" w:rsidRPr="0012711D" w:rsidRDefault="00AA37E9" w:rsidP="00170D8D">
            <w:pPr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Delayed dormant: oil + Seize or Centaur</w:t>
            </w:r>
          </w:p>
          <w:p w:rsidR="00AA37E9" w:rsidRPr="0012711D" w:rsidRDefault="00AA37E9" w:rsidP="00170D8D">
            <w:pPr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Spring: Seize, Centaur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Plum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European fruit </w:t>
            </w:r>
            <w:proofErr w:type="spellStart"/>
            <w:r w:rsidRPr="0012711D">
              <w:rPr>
                <w:rFonts w:cs="Arial"/>
                <w:sz w:val="20"/>
              </w:rPr>
              <w:t>lecanium</w:t>
            </w:r>
            <w:proofErr w:type="spellEnd"/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Narrow range oils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Dormant oil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proofErr w:type="spellStart"/>
            <w:r w:rsidRPr="0012711D">
              <w:rPr>
                <w:rFonts w:cs="Arial"/>
                <w:sz w:val="20"/>
              </w:rPr>
              <w:t>Obliquebanded</w:t>
            </w:r>
            <w:proofErr w:type="spellEnd"/>
            <w:r w:rsidRPr="0012711D">
              <w:rPr>
                <w:rFonts w:cs="Arial"/>
                <w:sz w:val="20"/>
              </w:rPr>
              <w:t xml:space="preserve"> </w:t>
            </w:r>
            <w:proofErr w:type="spellStart"/>
            <w:r w:rsidRPr="0012711D">
              <w:rPr>
                <w:rFonts w:cs="Arial"/>
                <w:sz w:val="20"/>
              </w:rPr>
              <w:t>leafroller</w:t>
            </w:r>
            <w:proofErr w:type="spellEnd"/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Oil +Dimilin or </w:t>
            </w:r>
            <w:proofErr w:type="spellStart"/>
            <w:r w:rsidRPr="0012711D">
              <w:rPr>
                <w:rFonts w:cs="Arial"/>
                <w:sz w:val="20"/>
              </w:rPr>
              <w:t>oil+Spinosad</w:t>
            </w:r>
            <w:proofErr w:type="spellEnd"/>
            <w:r w:rsidRPr="0012711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Peach Twig Borer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Oil + Success, Entrust, or Dimilin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Delayed dormant: oil + Success, Entrust, or Dimilin</w:t>
            </w:r>
          </w:p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Bloom/post bloom: Success, Entrust, </w:t>
            </w:r>
            <w:proofErr w:type="spellStart"/>
            <w:r w:rsidRPr="0012711D">
              <w:rPr>
                <w:rFonts w:cs="Arial"/>
                <w:sz w:val="20"/>
              </w:rPr>
              <w:t>Bt</w:t>
            </w:r>
            <w:proofErr w:type="spellEnd"/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San Jose scale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Oil plus Esteem (</w:t>
            </w:r>
            <w:proofErr w:type="spellStart"/>
            <w:r w:rsidRPr="0012711D">
              <w:rPr>
                <w:rFonts w:cs="Arial"/>
                <w:sz w:val="20"/>
              </w:rPr>
              <w:t>Pyriproxyfen</w:t>
            </w:r>
            <w:proofErr w:type="spellEnd"/>
            <w:r w:rsidRPr="0012711D">
              <w:rPr>
                <w:rFonts w:cs="Arial"/>
                <w:sz w:val="20"/>
              </w:rPr>
              <w:t>)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Dormant oil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Aphids (Leaf curl, mealy plum)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Oils or </w:t>
            </w:r>
            <w:proofErr w:type="spellStart"/>
            <w:r w:rsidRPr="0012711D">
              <w:rPr>
                <w:rFonts w:cs="Arial"/>
                <w:i/>
                <w:iCs/>
                <w:sz w:val="20"/>
              </w:rPr>
              <w:t>Aphidius</w:t>
            </w:r>
            <w:proofErr w:type="spellEnd"/>
            <w:r w:rsidRPr="0012711D">
              <w:rPr>
                <w:rFonts w:cs="Arial"/>
                <w:sz w:val="20"/>
              </w:rPr>
              <w:t xml:space="preserve"> parasitic wasp releases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Dormant: Asana XL</w:t>
            </w:r>
          </w:p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Spring: </w:t>
            </w:r>
            <w:proofErr w:type="spellStart"/>
            <w:r w:rsidRPr="0012711D">
              <w:rPr>
                <w:rFonts w:cs="Arial"/>
                <w:sz w:val="20"/>
              </w:rPr>
              <w:t>neem</w:t>
            </w:r>
            <w:proofErr w:type="spellEnd"/>
            <w:r w:rsidRPr="0012711D">
              <w:rPr>
                <w:rFonts w:cs="Arial"/>
                <w:sz w:val="20"/>
              </w:rPr>
              <w:t xml:space="preserve"> oil, narrow range oil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Cherry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Fruit </w:t>
            </w:r>
            <w:proofErr w:type="spellStart"/>
            <w:r w:rsidRPr="0012711D">
              <w:rPr>
                <w:rFonts w:cs="Arial"/>
                <w:sz w:val="20"/>
              </w:rPr>
              <w:t>Lecanium</w:t>
            </w:r>
            <w:proofErr w:type="spellEnd"/>
            <w:r w:rsidRPr="0012711D">
              <w:rPr>
                <w:rFonts w:cs="Arial"/>
                <w:sz w:val="20"/>
              </w:rPr>
              <w:t xml:space="preserve">, San </w:t>
            </w:r>
            <w:r w:rsidRPr="0012711D">
              <w:rPr>
                <w:rFonts w:cs="Arial"/>
                <w:sz w:val="20"/>
              </w:rPr>
              <w:lastRenderedPageBreak/>
              <w:t>Jose scale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12711D">
              <w:rPr>
                <w:rFonts w:cs="Arial"/>
                <w:sz w:val="20"/>
              </w:rPr>
              <w:t xml:space="preserve">elayed dormant: oil or oil + </w:t>
            </w:r>
            <w:proofErr w:type="spellStart"/>
            <w:r w:rsidRPr="0012711D">
              <w:rPr>
                <w:rFonts w:cs="Arial"/>
                <w:sz w:val="20"/>
              </w:rPr>
              <w:lastRenderedPageBreak/>
              <w:t>Supracide</w:t>
            </w:r>
            <w:proofErr w:type="spellEnd"/>
            <w:r w:rsidRPr="0012711D">
              <w:rPr>
                <w:rFonts w:cs="Arial"/>
                <w:sz w:val="20"/>
              </w:rPr>
              <w:t xml:space="preserve"> or Seize  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Peach Twig Borer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Spring: Asana XL, Intrepid, Bacillus thuringiensis, ssp. </w:t>
            </w:r>
            <w:proofErr w:type="spellStart"/>
            <w:r w:rsidRPr="0012711D">
              <w:rPr>
                <w:rFonts w:cs="Arial"/>
                <w:sz w:val="20"/>
              </w:rPr>
              <w:t>Kurstaki</w:t>
            </w:r>
            <w:proofErr w:type="spellEnd"/>
            <w:r w:rsidRPr="0012711D">
              <w:rPr>
                <w:rFonts w:cs="Arial"/>
                <w:sz w:val="20"/>
              </w:rPr>
              <w:t xml:space="preserve"> (</w:t>
            </w:r>
            <w:proofErr w:type="spellStart"/>
            <w:r w:rsidRPr="0012711D">
              <w:rPr>
                <w:rFonts w:cs="Arial"/>
                <w:sz w:val="20"/>
              </w:rPr>
              <w:t>Bt</w:t>
            </w:r>
            <w:proofErr w:type="spellEnd"/>
            <w:r w:rsidRPr="0012711D">
              <w:rPr>
                <w:rFonts w:cs="Arial"/>
                <w:sz w:val="20"/>
              </w:rPr>
              <w:t>), or Entrust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Pear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hanging="18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Aphids (Green peach, Cotton-melon,  Bean)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Narrow range oils, </w:t>
            </w:r>
            <w:proofErr w:type="spellStart"/>
            <w:r w:rsidRPr="0012711D">
              <w:rPr>
                <w:rFonts w:cs="Arial"/>
                <w:sz w:val="20"/>
              </w:rPr>
              <w:t>neem</w:t>
            </w:r>
            <w:proofErr w:type="spellEnd"/>
            <w:r w:rsidRPr="0012711D">
              <w:rPr>
                <w:rFonts w:cs="Arial"/>
                <w:sz w:val="20"/>
              </w:rPr>
              <w:t xml:space="preserve"> oil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San Jose Scale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jc w:val="both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Narrow range oil or dormant oil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>Apple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Aphids (rosy, wooly, green apple)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Delayed dormant</w:t>
            </w:r>
            <w:r>
              <w:rPr>
                <w:rFonts w:cs="Arial"/>
                <w:sz w:val="20"/>
              </w:rPr>
              <w:t>:</w:t>
            </w:r>
            <w:r w:rsidRPr="0012711D">
              <w:rPr>
                <w:rFonts w:cs="Arial"/>
                <w:sz w:val="20"/>
              </w:rPr>
              <w:t xml:space="preserve"> oil is best</w:t>
            </w:r>
          </w:p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Spring: </w:t>
            </w:r>
            <w:proofErr w:type="spellStart"/>
            <w:r w:rsidRPr="0012711D">
              <w:rPr>
                <w:rFonts w:cs="Arial"/>
                <w:sz w:val="20"/>
              </w:rPr>
              <w:t>Movento</w:t>
            </w:r>
            <w:proofErr w:type="spellEnd"/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San Jose Scale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Dormant &amp; crawler stage: oil</w:t>
            </w:r>
          </w:p>
          <w:p w:rsidR="00AA37E9" w:rsidRPr="0012711D" w:rsidRDefault="00AA37E9" w:rsidP="00170D8D">
            <w:pPr>
              <w:spacing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Delayed dormant: oil + Esteem or Seize</w:t>
            </w:r>
          </w:p>
        </w:tc>
      </w:tr>
      <w:tr w:rsidR="00AA37E9" w:rsidRPr="004B4025" w:rsidTr="00170D8D">
        <w:tc>
          <w:tcPr>
            <w:tcW w:w="1008" w:type="dxa"/>
          </w:tcPr>
          <w:p w:rsidR="00AA37E9" w:rsidRPr="004B4025" w:rsidRDefault="00AA37E9" w:rsidP="00170D8D">
            <w:pPr>
              <w:spacing w:after="120" w:line="24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4B4025">
              <w:rPr>
                <w:rFonts w:cs="Arial"/>
                <w:b/>
                <w:bCs/>
                <w:sz w:val="22"/>
                <w:szCs w:val="22"/>
              </w:rPr>
              <w:t xml:space="preserve">Citrus </w:t>
            </w:r>
          </w:p>
        </w:tc>
        <w:tc>
          <w:tcPr>
            <w:tcW w:w="243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 xml:space="preserve">CA red scale &amp; </w:t>
            </w:r>
            <w:proofErr w:type="spellStart"/>
            <w:r w:rsidRPr="0012711D">
              <w:rPr>
                <w:rFonts w:cs="Arial"/>
                <w:sz w:val="20"/>
              </w:rPr>
              <w:t>Citricola</w:t>
            </w:r>
            <w:proofErr w:type="spellEnd"/>
            <w:r w:rsidRPr="0012711D">
              <w:rPr>
                <w:rFonts w:cs="Arial"/>
                <w:sz w:val="20"/>
              </w:rPr>
              <w:t xml:space="preserve"> scale</w:t>
            </w:r>
          </w:p>
        </w:tc>
        <w:tc>
          <w:tcPr>
            <w:tcW w:w="2970" w:type="dxa"/>
          </w:tcPr>
          <w:p w:rsidR="00AA37E9" w:rsidRPr="0012711D" w:rsidRDefault="00AA37E9" w:rsidP="00170D8D">
            <w:pPr>
              <w:spacing w:after="120" w:line="240" w:lineRule="atLeast"/>
              <w:ind w:firstLine="0"/>
              <w:rPr>
                <w:rFonts w:cs="Arial"/>
                <w:sz w:val="20"/>
              </w:rPr>
            </w:pPr>
            <w:r w:rsidRPr="0012711D">
              <w:rPr>
                <w:rFonts w:cs="Arial"/>
                <w:sz w:val="20"/>
              </w:rPr>
              <w:t>Narrow range oil, Applaud, Esteem</w:t>
            </w:r>
            <w:r>
              <w:rPr>
                <w:rFonts w:cs="Arial"/>
                <w:sz w:val="20"/>
              </w:rPr>
              <w:t>,</w:t>
            </w:r>
            <w:r w:rsidRPr="0012711D">
              <w:rPr>
                <w:rFonts w:cs="Arial"/>
                <w:sz w:val="20"/>
              </w:rPr>
              <w:t xml:space="preserve"> Release </w:t>
            </w:r>
            <w:proofErr w:type="spellStart"/>
            <w:r w:rsidRPr="0012711D">
              <w:rPr>
                <w:rFonts w:cs="Arial"/>
                <w:i/>
                <w:iCs/>
                <w:sz w:val="20"/>
              </w:rPr>
              <w:t>Aphytis</w:t>
            </w:r>
            <w:proofErr w:type="spellEnd"/>
            <w:r w:rsidRPr="0012711D">
              <w:rPr>
                <w:rFonts w:cs="Arial"/>
                <w:sz w:val="20"/>
              </w:rPr>
              <w:t xml:space="preserve"> wasps for CA red scale</w:t>
            </w:r>
          </w:p>
        </w:tc>
        <w:tc>
          <w:tcPr>
            <w:tcW w:w="4050" w:type="dxa"/>
          </w:tcPr>
          <w:p w:rsidR="00AA37E9" w:rsidRPr="0012711D" w:rsidRDefault="00AA37E9" w:rsidP="00170D8D">
            <w:pPr>
              <w:spacing w:after="120" w:line="240" w:lineRule="atLeast"/>
              <w:rPr>
                <w:rFonts w:cs="Arial"/>
                <w:sz w:val="20"/>
              </w:rPr>
            </w:pPr>
          </w:p>
        </w:tc>
      </w:tr>
    </w:tbl>
    <w:p w:rsidR="00AA37E9" w:rsidRPr="00EC09BF" w:rsidRDefault="00AA37E9" w:rsidP="00AA37E9">
      <w:pPr>
        <w:pStyle w:val="NormalWeb"/>
        <w:spacing w:before="0" w:beforeAutospacing="0" w:after="0" w:afterAutospacing="0"/>
        <w:rPr>
          <w:b/>
        </w:rPr>
      </w:pPr>
      <w:r w:rsidRPr="00B81C81">
        <w:rPr>
          <w:rFonts w:ascii="Trebuchet MS" w:hAnsi="Trebuchet MS"/>
          <w:b/>
          <w:bCs/>
          <w:sz w:val="22"/>
          <w:szCs w:val="22"/>
        </w:rPr>
        <w:t xml:space="preserve">Information in this chart comes from UC IPM Pest Management Guidelines at </w:t>
      </w:r>
      <w:hyperlink r:id="rId5" w:history="1">
        <w:r w:rsidRPr="004F69D9">
          <w:rPr>
            <w:rStyle w:val="Hyperlink"/>
            <w:rFonts w:ascii="Trebuchet MS" w:hAnsi="Trebuchet MS"/>
            <w:b/>
            <w:bCs/>
            <w:color w:val="000000"/>
            <w:sz w:val="22"/>
            <w:szCs w:val="22"/>
          </w:rPr>
          <w:t>http://www.ipm.ucdavis.edu/PMG/</w:t>
        </w:r>
      </w:hyperlink>
      <w:r>
        <w:t xml:space="preserve"> </w:t>
      </w:r>
      <w:r w:rsidR="00EC09BF">
        <w:t xml:space="preserve"> </w:t>
      </w:r>
      <w:r w:rsidR="00EC09BF" w:rsidRPr="00EC09BF">
        <w:rPr>
          <w:b/>
        </w:rPr>
        <w:t xml:space="preserve">or Walnut Research Reports 2012 at </w:t>
      </w:r>
      <w:hyperlink r:id="rId6" w:history="1">
        <w:r w:rsidR="00EC09BF" w:rsidRPr="00EC09BF">
          <w:rPr>
            <w:rStyle w:val="Hyperlink"/>
            <w:b/>
          </w:rPr>
          <w:t>http://walnutresearch.ucdavis.edu/</w:t>
        </w:r>
      </w:hyperlink>
    </w:p>
    <w:p w:rsidR="00EC09BF" w:rsidRPr="004B4025" w:rsidRDefault="00EC09BF" w:rsidP="00AA37E9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A82F14" w:rsidRDefault="009D31D5"/>
    <w:sectPr w:rsidR="00A82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B2"/>
    <w:rsid w:val="002F652A"/>
    <w:rsid w:val="003338C8"/>
    <w:rsid w:val="00355D9E"/>
    <w:rsid w:val="004A4063"/>
    <w:rsid w:val="005A1132"/>
    <w:rsid w:val="00632182"/>
    <w:rsid w:val="006B57E1"/>
    <w:rsid w:val="007852F1"/>
    <w:rsid w:val="007B04CD"/>
    <w:rsid w:val="008E2429"/>
    <w:rsid w:val="008F40B2"/>
    <w:rsid w:val="009D31D5"/>
    <w:rsid w:val="00AA37E9"/>
    <w:rsid w:val="00E353A2"/>
    <w:rsid w:val="00EC09BF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B2"/>
    <w:pPr>
      <w:spacing w:after="0"/>
      <w:ind w:firstLine="144"/>
    </w:pPr>
    <w:rPr>
      <w:rFonts w:ascii="Trebuchet MS" w:eastAsia="Times New Roman" w:hAnsi="Trebuchet M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37E9"/>
    <w:pPr>
      <w:spacing w:before="100" w:beforeAutospacing="1" w:after="100" w:afterAutospacing="1"/>
      <w:ind w:firstLine="0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B2"/>
    <w:pPr>
      <w:spacing w:after="0"/>
      <w:ind w:firstLine="144"/>
    </w:pPr>
    <w:rPr>
      <w:rFonts w:ascii="Trebuchet MS" w:eastAsia="Times New Roman" w:hAnsi="Trebuchet M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37E9"/>
    <w:pPr>
      <w:spacing w:before="100" w:beforeAutospacing="1" w:after="100" w:afterAutospacing="1"/>
      <w:ind w:firstLine="0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alnutresearch.ucdavis.edu/" TargetMode="External"/><Relationship Id="rId5" Type="http://schemas.openxmlformats.org/officeDocument/2006/relationships/hyperlink" Target="http://www.ipm.ucdavis.edu/PM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Hasey</dc:creator>
  <cp:lastModifiedBy>Janine Hasey</cp:lastModifiedBy>
  <cp:revision>2</cp:revision>
  <dcterms:created xsi:type="dcterms:W3CDTF">2013-10-07T18:42:00Z</dcterms:created>
  <dcterms:modified xsi:type="dcterms:W3CDTF">2013-10-07T18:42:00Z</dcterms:modified>
</cp:coreProperties>
</file>