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6D00" w:rsidRDefault="00823803">
      <w:pPr>
        <w:spacing w:before="78"/>
        <w:ind w:left="4073" w:right="812"/>
        <w:jc w:val="center"/>
        <w:rPr>
          <w:rFonts w:ascii="Comic Sans MS"/>
          <w:b/>
          <w:sz w:val="40"/>
        </w:rPr>
      </w:pPr>
      <w:r>
        <w:rPr>
          <w:noProof/>
          <w:lang w:bidi="ar-SA"/>
        </w:rPr>
        <w:drawing>
          <wp:anchor distT="0" distB="0" distL="0" distR="0" simplePos="0" relativeHeight="1072" behindDoc="0" locked="0" layoutInCell="1" allowOverlap="1">
            <wp:simplePos x="0" y="0"/>
            <wp:positionH relativeFrom="page">
              <wp:posOffset>1033588</wp:posOffset>
            </wp:positionH>
            <wp:positionV relativeFrom="paragraph">
              <wp:posOffset>151131</wp:posOffset>
            </wp:positionV>
            <wp:extent cx="1853641" cy="461188"/>
            <wp:effectExtent l="0" t="0" r="0" b="0"/>
            <wp:wrapNone/>
            <wp:docPr id="1" name="image1.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1853641" cy="461188"/>
                    </a:xfrm>
                    <a:prstGeom prst="rect">
                      <a:avLst/>
                    </a:prstGeom>
                  </pic:spPr>
                </pic:pic>
              </a:graphicData>
            </a:graphic>
          </wp:anchor>
        </w:drawing>
      </w:r>
      <w:r>
        <w:rPr>
          <w:rFonts w:ascii="Comic Sans MS"/>
          <w:b/>
          <w:sz w:val="40"/>
        </w:rPr>
        <w:t>EatFit at a Glance</w:t>
      </w:r>
    </w:p>
    <w:p w:rsidR="00CF6D00" w:rsidRDefault="00F05C90">
      <w:pPr>
        <w:spacing w:before="2" w:after="22"/>
        <w:ind w:left="4074" w:right="812"/>
        <w:jc w:val="center"/>
        <w:rPr>
          <w:rFonts w:ascii="Comic Sans MS"/>
          <w:b/>
          <w:sz w:val="28"/>
        </w:rPr>
      </w:pPr>
      <w:r>
        <w:rPr>
          <w:rFonts w:ascii="Comic Sans MS"/>
          <w:b/>
          <w:sz w:val="28"/>
        </w:rPr>
        <w:t>University of California</w:t>
      </w:r>
    </w:p>
    <w:p w:rsidR="00CF6D00" w:rsidRDefault="00823803">
      <w:pPr>
        <w:pStyle w:val="BodyText"/>
        <w:spacing w:line="44" w:lineRule="exact"/>
        <w:ind w:left="3349"/>
        <w:rPr>
          <w:rFonts w:ascii="Comic Sans MS"/>
          <w:sz w:val="4"/>
        </w:rPr>
      </w:pPr>
      <w:r>
        <w:rPr>
          <w:rFonts w:ascii="Comic Sans MS"/>
          <w:sz w:val="4"/>
        </w:rPr>
      </w:r>
      <w:r>
        <w:rPr>
          <w:rFonts w:ascii="Comic Sans MS"/>
          <w:sz w:val="4"/>
        </w:rPr>
        <w:pict>
          <v:group id="_x0000_s1028" style="width:278.9pt;height:2.2pt;mso-position-horizontal-relative:char;mso-position-vertical-relative:line" coordsize="5578,44">
            <v:line id="_x0000_s1029" style="position:absolute" from="0,22" to="5578,22" strokeweight="2.16pt"/>
            <w10:wrap type="none"/>
            <w10:anchorlock/>
          </v:group>
        </w:pict>
      </w:r>
    </w:p>
    <w:p w:rsidR="00CF6D00" w:rsidRDefault="00823803">
      <w:pPr>
        <w:spacing w:before="138"/>
        <w:ind w:left="280" w:right="431"/>
        <w:rPr>
          <w:i/>
          <w:sz w:val="18"/>
        </w:rPr>
      </w:pPr>
      <w:r>
        <w:rPr>
          <w:i/>
          <w:sz w:val="18"/>
        </w:rPr>
        <w:t xml:space="preserve">EatFit is a goal-setting curriculum designed to challenge middle school students to improve their eating and fitness choices. It is adaptable for after school programs, 4-H Youth Development, school classrooms and other </w:t>
      </w:r>
      <w:r>
        <w:rPr>
          <w:i/>
          <w:sz w:val="18"/>
        </w:rPr>
        <w:t>youth programs.</w:t>
      </w:r>
    </w:p>
    <w:p w:rsidR="00CF6D00" w:rsidRDefault="00CF6D00">
      <w:pPr>
        <w:rPr>
          <w:sz w:val="18"/>
        </w:rPr>
        <w:sectPr w:rsidR="00CF6D00">
          <w:type w:val="continuous"/>
          <w:pgSz w:w="12240" w:h="15840"/>
          <w:pgMar w:top="640" w:right="1660" w:bottom="280" w:left="1520" w:header="720" w:footer="720" w:gutter="0"/>
          <w:cols w:space="720"/>
        </w:sectPr>
      </w:pPr>
    </w:p>
    <w:p w:rsidR="00CF6D00" w:rsidRDefault="00823803">
      <w:pPr>
        <w:pStyle w:val="BodyText"/>
        <w:spacing w:before="193" w:line="237" w:lineRule="auto"/>
        <w:ind w:right="115"/>
      </w:pPr>
      <w:r>
        <w:rPr>
          <w:b/>
          <w:color w:val="0000FF"/>
          <w:sz w:val="32"/>
        </w:rPr>
        <w:t>L</w:t>
      </w:r>
      <w:r>
        <w:rPr>
          <w:b/>
          <w:color w:val="0000FF"/>
          <w:sz w:val="24"/>
        </w:rPr>
        <w:t xml:space="preserve">esson </w:t>
      </w:r>
      <w:proofErr w:type="gramStart"/>
      <w:r>
        <w:rPr>
          <w:b/>
          <w:color w:val="0000FF"/>
          <w:sz w:val="24"/>
        </w:rPr>
        <w:t>1—</w:t>
      </w:r>
      <w:proofErr w:type="gramEnd"/>
      <w:r>
        <w:rPr>
          <w:b/>
          <w:color w:val="0000FF"/>
          <w:sz w:val="24"/>
        </w:rPr>
        <w:t xml:space="preserve">EatFit Foundation </w:t>
      </w:r>
      <w:r>
        <w:t>Research indicates that teaching the basics is central to success. This lesson provides</w:t>
      </w:r>
      <w:r>
        <w:rPr>
          <w:spacing w:val="-23"/>
        </w:rPr>
        <w:t xml:space="preserve"> </w:t>
      </w:r>
      <w:r>
        <w:t>students with the fundamental concepts of nutrition and fitness.</w:t>
      </w:r>
    </w:p>
    <w:p w:rsidR="00CF6D00" w:rsidRDefault="00823803">
      <w:pPr>
        <w:pStyle w:val="BodyText"/>
        <w:spacing w:before="193"/>
        <w:ind w:right="163"/>
      </w:pPr>
      <w:r>
        <w:rPr>
          <w:b/>
          <w:color w:val="0000FF"/>
          <w:sz w:val="32"/>
        </w:rPr>
        <w:t>L</w:t>
      </w:r>
      <w:r>
        <w:rPr>
          <w:b/>
          <w:color w:val="0000FF"/>
          <w:sz w:val="24"/>
        </w:rPr>
        <w:t xml:space="preserve">esson 2—What Are You </w:t>
      </w:r>
      <w:proofErr w:type="gramStart"/>
      <w:r>
        <w:rPr>
          <w:b/>
          <w:color w:val="0000FF"/>
          <w:sz w:val="24"/>
        </w:rPr>
        <w:t>Eating?</w:t>
      </w:r>
      <w:proofErr w:type="gramEnd"/>
      <w:r>
        <w:rPr>
          <w:b/>
          <w:color w:val="0000FF"/>
          <w:sz w:val="24"/>
        </w:rPr>
        <w:t xml:space="preserve"> </w:t>
      </w:r>
      <w:r>
        <w:t xml:space="preserve">This lesson </w:t>
      </w:r>
      <w:proofErr w:type="gramStart"/>
      <w:r>
        <w:t>is des</w:t>
      </w:r>
      <w:r>
        <w:t>igned</w:t>
      </w:r>
      <w:proofErr w:type="gramEnd"/>
      <w:r>
        <w:t xml:space="preserve"> to engage students with immediate feedback on current eating patterns and then challenge them to focus on the habits that need the most improvement. Personalized computer printouts and student selection of major and minor eating goals focuses attenti</w:t>
      </w:r>
      <w:r>
        <w:t>on on practicing specific new eating behaviors.</w:t>
      </w:r>
    </w:p>
    <w:p w:rsidR="00CF6D00" w:rsidRDefault="00823803">
      <w:pPr>
        <w:pStyle w:val="BodyText"/>
        <w:ind w:right="115"/>
      </w:pPr>
      <w:r>
        <w:t>Research and teen interviews show that individualized assessment is very engaging and useful to middle school students.</w:t>
      </w:r>
    </w:p>
    <w:p w:rsidR="00CF6D00" w:rsidRDefault="00823803">
      <w:pPr>
        <w:pStyle w:val="BodyText"/>
        <w:spacing w:before="183"/>
        <w:ind w:right="38"/>
      </w:pPr>
      <w:r>
        <w:rPr>
          <w:b/>
          <w:color w:val="0000FF"/>
          <w:sz w:val="32"/>
        </w:rPr>
        <w:t>L</w:t>
      </w:r>
      <w:r>
        <w:rPr>
          <w:b/>
          <w:color w:val="0000FF"/>
          <w:sz w:val="24"/>
        </w:rPr>
        <w:t xml:space="preserve">esson </w:t>
      </w:r>
      <w:proofErr w:type="gramStart"/>
      <w:r>
        <w:rPr>
          <w:b/>
          <w:color w:val="0000FF"/>
          <w:sz w:val="24"/>
        </w:rPr>
        <w:t>3—</w:t>
      </w:r>
      <w:proofErr w:type="gramEnd"/>
      <w:r>
        <w:rPr>
          <w:b/>
          <w:color w:val="0000FF"/>
          <w:sz w:val="24"/>
        </w:rPr>
        <w:t xml:space="preserve">Get Psyched for Fitness </w:t>
      </w:r>
      <w:r>
        <w:t xml:space="preserve">The adoption of a new behavior requires confidence and </w:t>
      </w:r>
      <w:r>
        <w:t>skills to master the desired activity. This lesson includes demonstration and practice of the fitness activities and discussion</w:t>
      </w:r>
      <w:r>
        <w:rPr>
          <w:spacing w:val="-25"/>
        </w:rPr>
        <w:t xml:space="preserve"> </w:t>
      </w:r>
      <w:r>
        <w:t xml:space="preserve">of their benefits. Barriers to adoption </w:t>
      </w:r>
      <w:proofErr w:type="gramStart"/>
      <w:r>
        <w:t>are discussed</w:t>
      </w:r>
      <w:proofErr w:type="gramEnd"/>
      <w:r>
        <w:t xml:space="preserve"> and promotion of peer and family support is encouraged. The lesson helps e</w:t>
      </w:r>
      <w:r>
        <w:t>ach student choose areas for improvement and assists with selection of a major and minor fitness</w:t>
      </w:r>
      <w:r>
        <w:rPr>
          <w:spacing w:val="-4"/>
        </w:rPr>
        <w:t xml:space="preserve"> </w:t>
      </w:r>
      <w:r>
        <w:t>goal.</w:t>
      </w:r>
    </w:p>
    <w:p w:rsidR="00CF6D00" w:rsidRDefault="00823803">
      <w:pPr>
        <w:pStyle w:val="Heading1"/>
      </w:pPr>
      <w:r>
        <w:rPr>
          <w:color w:val="0000FF"/>
          <w:sz w:val="32"/>
        </w:rPr>
        <w:t>L</w:t>
      </w:r>
      <w:r>
        <w:rPr>
          <w:color w:val="0000FF"/>
        </w:rPr>
        <w:t>esson 4—Energy</w:t>
      </w:r>
    </w:p>
    <w:p w:rsidR="00CF6D00" w:rsidRDefault="00823803">
      <w:pPr>
        <w:pStyle w:val="BodyText"/>
        <w:ind w:right="115"/>
      </w:pPr>
      <w:r>
        <w:t xml:space="preserve">Exercise and food can be unrelated concepts to adolescents, until one </w:t>
      </w:r>
      <w:proofErr w:type="gramStart"/>
      <w:r>
        <w:t>has been given</w:t>
      </w:r>
      <w:proofErr w:type="gramEnd"/>
      <w:r>
        <w:t xml:space="preserve"> the knowledge linking them. This lesson demonstrates</w:t>
      </w:r>
      <w:r>
        <w:t xml:space="preserve"> that connection. By helping the students understand how their food choices and exercise habits affect their growth, weight, energy needs, and appearance, they will better understand the benefits of adopting new behaviors.</w:t>
      </w:r>
    </w:p>
    <w:p w:rsidR="00CF6D00" w:rsidRDefault="00823803">
      <w:pPr>
        <w:pStyle w:val="Heading1"/>
        <w:spacing w:before="179" w:line="240" w:lineRule="auto"/>
      </w:pPr>
      <w:r>
        <w:rPr>
          <w:b w:val="0"/>
          <w:color w:val="0000FF"/>
          <w:sz w:val="32"/>
        </w:rPr>
        <w:t>L</w:t>
      </w:r>
      <w:r>
        <w:rPr>
          <w:color w:val="0000FF"/>
        </w:rPr>
        <w:t>esson 5—Food Label Fa</w:t>
      </w:r>
      <w:r w:rsidR="00F05C90">
        <w:rPr>
          <w:color w:val="0000FF"/>
        </w:rPr>
        <w:t>cts</w:t>
      </w:r>
    </w:p>
    <w:p w:rsidR="00CF6D00" w:rsidRDefault="00823803">
      <w:pPr>
        <w:pStyle w:val="BodyText"/>
        <w:spacing w:before="3"/>
        <w:ind w:right="330"/>
      </w:pPr>
      <w:r>
        <w:t xml:space="preserve">Label reading </w:t>
      </w:r>
      <w:proofErr w:type="gramStart"/>
      <w:r>
        <w:t>is presented and promoted as a desirable life skill</w:t>
      </w:r>
      <w:proofErr w:type="gramEnd"/>
      <w:r>
        <w:t>. Middle school students</w:t>
      </w:r>
    </w:p>
    <w:p w:rsidR="00CF6D00" w:rsidRDefault="00823803">
      <w:pPr>
        <w:pStyle w:val="BodyText"/>
        <w:spacing w:before="184"/>
        <w:ind w:right="349"/>
        <w:jc w:val="both"/>
      </w:pPr>
      <w:r>
        <w:br w:type="column"/>
      </w:r>
      <w:proofErr w:type="gramStart"/>
      <w:r>
        <w:t>choose</w:t>
      </w:r>
      <w:proofErr w:type="gramEnd"/>
      <w:r>
        <w:t xml:space="preserve"> foods that support their nutrition goals. Instruction highlights the parts of the label that coincide with their goals.</w:t>
      </w:r>
    </w:p>
    <w:p w:rsidR="00CF6D00" w:rsidRDefault="00823803">
      <w:pPr>
        <w:pStyle w:val="Heading1"/>
        <w:spacing w:before="189"/>
      </w:pPr>
      <w:r>
        <w:rPr>
          <w:color w:val="0000FF"/>
          <w:sz w:val="32"/>
        </w:rPr>
        <w:t>L</w:t>
      </w:r>
      <w:r>
        <w:rPr>
          <w:color w:val="0000FF"/>
        </w:rPr>
        <w:t xml:space="preserve">esson </w:t>
      </w:r>
      <w:proofErr w:type="gramStart"/>
      <w:r>
        <w:rPr>
          <w:color w:val="0000FF"/>
        </w:rPr>
        <w:t>6—</w:t>
      </w:r>
      <w:proofErr w:type="gramEnd"/>
      <w:r>
        <w:rPr>
          <w:color w:val="0000FF"/>
        </w:rPr>
        <w:t>Got Breakfast?</w:t>
      </w:r>
    </w:p>
    <w:p w:rsidR="00CF6D00" w:rsidRDefault="00823803">
      <w:pPr>
        <w:pStyle w:val="BodyText"/>
        <w:ind w:right="192"/>
      </w:pPr>
      <w:r>
        <w:t>Research shows that breakfast is the one meal of the day over which young teens have the most control. Promoting healthy eating habits at breakfast helps youth gain confidence in their ability to control their food choices, making them more likely to succe</w:t>
      </w:r>
      <w:r>
        <w:t xml:space="preserve">ed in improving their eating behaviors. </w:t>
      </w:r>
      <w:proofErr w:type="gramStart"/>
      <w:r>
        <w:t>Also</w:t>
      </w:r>
      <w:proofErr w:type="gramEnd"/>
      <w:r>
        <w:t>, regular breakfast eaters perform better in school, have fewer behavior problems, and eat healthier diets overall.</w:t>
      </w:r>
    </w:p>
    <w:p w:rsidR="00CF6D00" w:rsidRDefault="00823803">
      <w:pPr>
        <w:pStyle w:val="Heading1"/>
        <w:spacing w:line="366" w:lineRule="exact"/>
      </w:pPr>
      <w:r>
        <w:rPr>
          <w:color w:val="0000FF"/>
          <w:sz w:val="32"/>
        </w:rPr>
        <w:t>L</w:t>
      </w:r>
      <w:r>
        <w:rPr>
          <w:color w:val="0000FF"/>
        </w:rPr>
        <w:t>esson 7—</w:t>
      </w:r>
      <w:proofErr w:type="spellStart"/>
      <w:r>
        <w:rPr>
          <w:color w:val="0000FF"/>
        </w:rPr>
        <w:t>BodyWork</w:t>
      </w:r>
      <w:proofErr w:type="spellEnd"/>
    </w:p>
    <w:p w:rsidR="00CF6D00" w:rsidRDefault="00823803">
      <w:pPr>
        <w:pStyle w:val="BodyText"/>
        <w:ind w:right="142"/>
      </w:pPr>
      <w:r>
        <w:t>The ability to perform various</w:t>
      </w:r>
      <w:r w:rsidR="00F05C90">
        <w:t xml:space="preserve"> physical</w:t>
      </w:r>
      <w:r>
        <w:t xml:space="preserve"> activities develops self-confidence and increas</w:t>
      </w:r>
      <w:r>
        <w:t>es the odds that adolescents will continue these activities after program completion. The emphasis is incorporating various types of activities into one’s lifestyle.</w:t>
      </w:r>
    </w:p>
    <w:p w:rsidR="00CF6D00" w:rsidRDefault="00823803">
      <w:pPr>
        <w:pStyle w:val="Heading1"/>
        <w:spacing w:before="187" w:line="366" w:lineRule="exact"/>
      </w:pPr>
      <w:r>
        <w:rPr>
          <w:color w:val="0000FF"/>
          <w:sz w:val="32"/>
        </w:rPr>
        <w:t>L</w:t>
      </w:r>
      <w:r>
        <w:rPr>
          <w:color w:val="0000FF"/>
        </w:rPr>
        <w:t>esson 8—</w:t>
      </w:r>
      <w:proofErr w:type="spellStart"/>
      <w:r>
        <w:rPr>
          <w:color w:val="0000FF"/>
        </w:rPr>
        <w:t>EatFit@FastFood</w:t>
      </w:r>
      <w:proofErr w:type="spellEnd"/>
    </w:p>
    <w:p w:rsidR="00CF6D00" w:rsidRDefault="00823803">
      <w:pPr>
        <w:pStyle w:val="BodyText"/>
        <w:ind w:right="137"/>
      </w:pPr>
      <w:r>
        <w:t xml:space="preserve">On average, teenagers eat out three to 10 times </w:t>
      </w:r>
      <w:proofErr w:type="gramStart"/>
      <w:r>
        <w:t>per</w:t>
      </w:r>
      <w:proofErr w:type="gramEnd"/>
      <w:r>
        <w:t xml:space="preserve"> week. These m</w:t>
      </w:r>
      <w:r>
        <w:t xml:space="preserve">eals are typically higher in </w:t>
      </w:r>
      <w:r w:rsidR="00F05C90">
        <w:t xml:space="preserve">solid </w:t>
      </w:r>
      <w:r>
        <w:t xml:space="preserve">fat, sodium, and </w:t>
      </w:r>
      <w:r w:rsidR="00F05C90">
        <w:t xml:space="preserve">added </w:t>
      </w:r>
      <w:r>
        <w:t>sugar than meals prepared at home. The purpose of this lesson is to guide the choices they make at restaurants. The lesson focuses on how to choose menu items that help students reach their nutritional goals.</w:t>
      </w:r>
    </w:p>
    <w:p w:rsidR="00CF6D00" w:rsidRDefault="00823803">
      <w:pPr>
        <w:pStyle w:val="Heading1"/>
      </w:pPr>
      <w:r>
        <w:rPr>
          <w:color w:val="0000FF"/>
          <w:sz w:val="32"/>
        </w:rPr>
        <w:t>L</w:t>
      </w:r>
      <w:r w:rsidR="00F05C90">
        <w:rPr>
          <w:color w:val="0000FF"/>
        </w:rPr>
        <w:t>esson 9—Screen Time</w:t>
      </w:r>
      <w:r>
        <w:rPr>
          <w:color w:val="0000FF"/>
        </w:rPr>
        <w:t xml:space="preserve"> Training</w:t>
      </w:r>
    </w:p>
    <w:p w:rsidR="00CF6D00" w:rsidRDefault="00F05C90">
      <w:pPr>
        <w:pStyle w:val="BodyText"/>
        <w:ind w:right="169"/>
      </w:pPr>
      <w:r>
        <w:t xml:space="preserve">Teenagers, on average, spend more than </w:t>
      </w:r>
      <w:r w:rsidR="00823803">
        <w:t>4</w:t>
      </w:r>
      <w:r>
        <w:t xml:space="preserve"> hours a day watching screens,</w:t>
      </w:r>
      <w:r w:rsidR="00823803">
        <w:t xml:space="preserve"> with </w:t>
      </w:r>
      <w:r>
        <w:t>continual marketing and advertisements</w:t>
      </w:r>
      <w:r w:rsidR="00823803">
        <w:t xml:space="preserve">. The messages affect choices about exercise and food, as well as body perceptions. Becoming more aware of the content and intention of the media is </w:t>
      </w:r>
      <w:r w:rsidR="00823803">
        <w:t>this lesson’s focus. Informed critical thinking is the intended tool to use while making purchasing decisions.</w:t>
      </w:r>
    </w:p>
    <w:p w:rsidR="00CF6D00" w:rsidRDefault="00CF6D00">
      <w:pPr>
        <w:sectPr w:rsidR="00CF6D00">
          <w:type w:val="continuous"/>
          <w:pgSz w:w="12240" w:h="15840"/>
          <w:pgMar w:top="640" w:right="1660" w:bottom="280" w:left="1520" w:header="720" w:footer="720" w:gutter="0"/>
          <w:cols w:num="2" w:space="720" w:equalWidth="0">
            <w:col w:w="4246" w:space="434"/>
            <w:col w:w="4380"/>
          </w:cols>
        </w:sectPr>
      </w:pPr>
    </w:p>
    <w:p w:rsidR="00CF6D00" w:rsidRDefault="00823803">
      <w:pPr>
        <w:pStyle w:val="BodyText"/>
        <w:spacing w:line="30" w:lineRule="exact"/>
        <w:ind w:left="236"/>
        <w:rPr>
          <w:sz w:val="3"/>
        </w:rPr>
      </w:pPr>
      <w:r>
        <w:rPr>
          <w:sz w:val="3"/>
        </w:rPr>
      </w:r>
      <w:r>
        <w:rPr>
          <w:sz w:val="3"/>
        </w:rPr>
        <w:pict>
          <v:group id="_x0000_s1026" style="width:434.9pt;height:1.45pt;mso-position-horizontal-relative:char;mso-position-vertical-relative:line" coordsize="8698,29">
            <v:line id="_x0000_s1027" style="position:absolute" from="0,14" to="8698,14" strokeweight="1.44pt"/>
            <w10:wrap type="none"/>
            <w10:anchorlock/>
          </v:group>
        </w:pict>
      </w:r>
    </w:p>
    <w:p w:rsidR="00CF6D00" w:rsidRDefault="00823803">
      <w:pPr>
        <w:spacing w:before="26"/>
        <w:ind w:left="279" w:right="34"/>
        <w:rPr>
          <w:rFonts w:ascii="Verdana"/>
          <w:sz w:val="10"/>
        </w:rPr>
      </w:pPr>
      <w:r>
        <w:rPr>
          <w:rFonts w:ascii="Verdana"/>
          <w:b/>
          <w:color w:val="0000FF"/>
          <w:sz w:val="10"/>
        </w:rPr>
        <w:t xml:space="preserve">EatFit Funders: </w:t>
      </w:r>
      <w:r>
        <w:rPr>
          <w:rFonts w:ascii="Verdana"/>
          <w:sz w:val="10"/>
        </w:rPr>
        <w:t>University of California Cooperative Ext</w:t>
      </w:r>
      <w:r>
        <w:rPr>
          <w:rFonts w:ascii="Verdana"/>
          <w:sz w:val="10"/>
        </w:rPr>
        <w:t>ension, Expanded Food and Nutrition Education Program, Food Stamp Nutrition Education Program, UC Davis School/University Partnership, The Center for Advanced Studies in Nutrition &amp; Social Marketing-UCD, University of California Agriculture &amp; Natural Resou</w:t>
      </w:r>
      <w:r>
        <w:rPr>
          <w:rFonts w:ascii="Verdana"/>
          <w:sz w:val="10"/>
        </w:rPr>
        <w:t>rces</w:t>
      </w:r>
      <w:r>
        <w:rPr>
          <w:rFonts w:ascii="Verdana"/>
          <w:b/>
          <w:sz w:val="10"/>
        </w:rPr>
        <w:t xml:space="preserve">, </w:t>
      </w:r>
      <w:r>
        <w:rPr>
          <w:rFonts w:ascii="Verdana"/>
          <w:sz w:val="10"/>
        </w:rPr>
        <w:t>American Distance Education Consortium. This work is/was supported by the U.S. Department of Agriculture (USDA), National Institute of Food and Agriculture, the Expanded Food and Nutrition Education Program. Any opinions, findings, conclusions, or re</w:t>
      </w:r>
      <w:r>
        <w:rPr>
          <w:rFonts w:ascii="Verdana"/>
          <w:sz w:val="10"/>
        </w:rPr>
        <w:t>commendations expressed in this publication are those of the author(s) and do not necessarily reflect the view of the USDA.</w:t>
      </w:r>
    </w:p>
    <w:p w:rsidR="00CF6D00" w:rsidRDefault="00823803">
      <w:pPr>
        <w:ind w:left="280" w:right="355"/>
        <w:rPr>
          <w:rFonts w:ascii="Verdana"/>
          <w:sz w:val="10"/>
        </w:rPr>
      </w:pPr>
      <w:r>
        <w:rPr>
          <w:rFonts w:ascii="Verdana"/>
          <w:sz w:val="10"/>
        </w:rPr>
        <w:t xml:space="preserve">It is the policy of the University </w:t>
      </w:r>
      <w:proofErr w:type="gramStart"/>
      <w:r>
        <w:rPr>
          <w:rFonts w:ascii="Verdana"/>
          <w:sz w:val="10"/>
        </w:rPr>
        <w:t>of</w:t>
      </w:r>
      <w:proofErr w:type="gramEnd"/>
      <w:r>
        <w:rPr>
          <w:rFonts w:ascii="Verdana"/>
          <w:sz w:val="10"/>
        </w:rPr>
        <w:t xml:space="preserve"> California (UC) and the UC Division of Agriculture &amp; Natural Resources not to engage in discri</w:t>
      </w:r>
      <w:r>
        <w:rPr>
          <w:rFonts w:ascii="Verdana"/>
          <w:sz w:val="10"/>
        </w:rPr>
        <w:t xml:space="preserve">mination against or harassment of any person in any of its programs or activities (Complete nondiscrimination policy statement can be found at </w:t>
      </w:r>
      <w:hyperlink r:id="rId5">
        <w:r>
          <w:rPr>
            <w:rFonts w:ascii="Verdana"/>
            <w:color w:val="0000FF"/>
            <w:sz w:val="10"/>
            <w:u w:val="single" w:color="0000FF"/>
          </w:rPr>
          <w:t>http://ucanr.edu/sites/anrstaff/files/187680.</w:t>
        </w:r>
        <w:r>
          <w:rPr>
            <w:rFonts w:ascii="Verdana"/>
            <w:color w:val="0000FF"/>
            <w:sz w:val="10"/>
            <w:u w:val="single" w:color="0000FF"/>
          </w:rPr>
          <w:t>pd</w:t>
        </w:r>
        <w:r>
          <w:rPr>
            <w:rFonts w:ascii="Verdana"/>
            <w:color w:val="0000FF"/>
            <w:sz w:val="10"/>
          </w:rPr>
          <w:t xml:space="preserve">f </w:t>
        </w:r>
      </w:hyperlink>
      <w:r>
        <w:rPr>
          <w:rFonts w:ascii="Verdana"/>
          <w:sz w:val="10"/>
        </w:rPr>
        <w:t>)</w:t>
      </w:r>
    </w:p>
    <w:p w:rsidR="00CF6D00" w:rsidRDefault="00823803">
      <w:pPr>
        <w:ind w:left="280" w:right="34"/>
        <w:rPr>
          <w:rFonts w:ascii="Verdana" w:hAnsi="Verdana"/>
          <w:sz w:val="10"/>
        </w:rPr>
      </w:pPr>
      <w:r>
        <w:rPr>
          <w:rFonts w:ascii="Verdana" w:hAnsi="Verdana"/>
          <w:sz w:val="10"/>
        </w:rPr>
        <w:t xml:space="preserve">Inquiries regarding ANR’s nondiscrimination policies </w:t>
      </w:r>
      <w:proofErr w:type="gramStart"/>
      <w:r>
        <w:rPr>
          <w:rFonts w:ascii="Verdana" w:hAnsi="Verdana"/>
          <w:sz w:val="10"/>
        </w:rPr>
        <w:t>may be directed</w:t>
      </w:r>
      <w:proofErr w:type="gramEnd"/>
      <w:r>
        <w:rPr>
          <w:rFonts w:ascii="Verdana" w:hAnsi="Verdana"/>
          <w:sz w:val="10"/>
        </w:rPr>
        <w:t xml:space="preserve"> to Linda Marie Manton, Affirmative Action Contact, University of California, Agriculture and Natural Resources, 2801 Second Street, Davis, CA 95618, (530) 750-1318.</w:t>
      </w:r>
    </w:p>
    <w:p w:rsidR="00CF6D00" w:rsidRDefault="00CF6D00">
      <w:pPr>
        <w:pStyle w:val="BodyText"/>
        <w:ind w:left="0"/>
        <w:rPr>
          <w:rFonts w:ascii="Verdana"/>
        </w:rPr>
      </w:pPr>
    </w:p>
    <w:p w:rsidR="00CF6D00" w:rsidRDefault="00CF6D00">
      <w:pPr>
        <w:pStyle w:val="BodyText"/>
        <w:spacing w:before="10"/>
        <w:ind w:left="0"/>
        <w:rPr>
          <w:rFonts w:ascii="Verdana"/>
          <w:sz w:val="28"/>
        </w:rPr>
      </w:pPr>
    </w:p>
    <w:p w:rsidR="00CF6D00" w:rsidRDefault="00823803">
      <w:pPr>
        <w:spacing w:before="93"/>
        <w:ind w:left="280"/>
        <w:rPr>
          <w:sz w:val="18"/>
        </w:rPr>
      </w:pPr>
      <w:r>
        <w:rPr>
          <w:sz w:val="18"/>
        </w:rPr>
        <w:t>11</w:t>
      </w:r>
      <w:r>
        <w:rPr>
          <w:sz w:val="18"/>
        </w:rPr>
        <w:t>/18</w:t>
      </w:r>
      <w:bookmarkStart w:id="0" w:name="_GoBack"/>
      <w:bookmarkEnd w:id="0"/>
    </w:p>
    <w:sectPr w:rsidR="00CF6D00">
      <w:type w:val="continuous"/>
      <w:pgSz w:w="12240" w:h="15840"/>
      <w:pgMar w:top="640" w:right="1660" w:bottom="280" w:left="15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CF6D00"/>
    <w:rsid w:val="00823803"/>
    <w:rsid w:val="00CF6D00"/>
    <w:rsid w:val="00F05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2E9BA7D5"/>
  <w15:docId w15:val="{ECB07F07-2ABE-468E-962C-A8E22E716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spacing w:before="186" w:line="365" w:lineRule="exact"/>
      <w:ind w:left="28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80"/>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05C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5C90"/>
    <w:rPr>
      <w:rFonts w:ascii="Segoe UI" w:eastAsia="Times New Roman"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ucanr.edu/sites/anrstaff/files/187680.pdf"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725</Words>
  <Characters>4135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EatFit at a Glance</vt:lpstr>
    </vt:vector>
  </TitlesOfParts>
  <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EatFit at a Glance</dc:title>
  <dc:creator>UC Davis DANR</dc:creator>
  <cp:lastModifiedBy>Marcel Horowitz</cp:lastModifiedBy>
  <cp:revision>3</cp:revision>
  <cp:lastPrinted>2018-11-27T22:09:00Z</cp:lastPrinted>
  <dcterms:created xsi:type="dcterms:W3CDTF">2018-11-27T22:15:00Z</dcterms:created>
  <dcterms:modified xsi:type="dcterms:W3CDTF">2018-11-27T22:15:00Z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2015-01-08T00:00:00Z</vt:filetime>
  </property>
  <property fmtid="{D5CDD505-2E9C-101B-9397-08002B2CF9AE}" pid="3" name="Creator">
    <vt:lpwstr>Acrobat PDFMaker 11 for Word</vt:lpwstr>
  </property>
  <property fmtid="{D5CDD505-2E9C-101B-9397-08002B2CF9AE}" pid="4" name="LastSaved">
    <vt:filetime>2018-10-26T00:00:00Z</vt:filetime>
  </property>
</Properties>
</file>