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B486" w14:textId="70A140D8" w:rsidR="00841CC9" w:rsidRDefault="005A698C" w:rsidP="00027795">
      <w:pPr>
        <w:jc w:val="center"/>
        <w:rPr>
          <w:rFonts w:ascii="Arial" w:hAnsi="Arial" w:cs="Arial"/>
          <w:b/>
          <w:sz w:val="24"/>
          <w:szCs w:val="24"/>
        </w:rPr>
      </w:pPr>
      <w:r w:rsidRPr="0026041F">
        <w:rPr>
          <w:rFonts w:ascii="Arial" w:hAnsi="Arial" w:cs="Arial"/>
          <w:b/>
          <w:sz w:val="24"/>
          <w:szCs w:val="24"/>
        </w:rPr>
        <w:t xml:space="preserve">Program Activities </w:t>
      </w:r>
      <w:r w:rsidR="00841CC9">
        <w:rPr>
          <w:rFonts w:ascii="Arial" w:hAnsi="Arial" w:cs="Arial"/>
          <w:b/>
          <w:sz w:val="24"/>
          <w:szCs w:val="24"/>
        </w:rPr>
        <w:t xml:space="preserve">naming - </w:t>
      </w:r>
      <w:r w:rsidR="00DC09A3" w:rsidRPr="0026041F">
        <w:rPr>
          <w:rFonts w:ascii="Arial" w:hAnsi="Arial" w:cs="Arial"/>
          <w:b/>
          <w:sz w:val="24"/>
          <w:szCs w:val="24"/>
        </w:rPr>
        <w:t xml:space="preserve">PEARS </w:t>
      </w:r>
      <w:r w:rsidR="00841CC9">
        <w:rPr>
          <w:rFonts w:ascii="Arial" w:hAnsi="Arial" w:cs="Arial"/>
          <w:b/>
          <w:sz w:val="24"/>
          <w:szCs w:val="24"/>
        </w:rPr>
        <w:t>Program Activity Module</w:t>
      </w:r>
    </w:p>
    <w:p w14:paraId="428864F4" w14:textId="5819C435" w:rsidR="00AC422F" w:rsidRPr="00163E71" w:rsidRDefault="00163E71" w:rsidP="005A69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review or additional reporting, P</w:t>
      </w:r>
      <w:r w:rsidR="00576006">
        <w:rPr>
          <w:rFonts w:ascii="Arial" w:hAnsi="Arial" w:cs="Arial"/>
          <w:sz w:val="24"/>
          <w:szCs w:val="24"/>
        </w:rPr>
        <w:t>rogram Activity entries can be filtered by a number of the data fields included in the activity entry: 1) start date, 2) end date, 3) delivery person, 4) delivery site, 5) SNAP-Ed curriculum, and 6) unit.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22F">
        <w:rPr>
          <w:rFonts w:ascii="Arial" w:hAnsi="Arial" w:cs="Arial"/>
          <w:sz w:val="24"/>
          <w:szCs w:val="24"/>
        </w:rPr>
        <w:t>In addition, the “Program activity name” is a fle</w:t>
      </w:r>
      <w:r w:rsidR="00AD6972">
        <w:rPr>
          <w:rFonts w:ascii="Arial" w:hAnsi="Arial" w:cs="Arial"/>
          <w:sz w:val="24"/>
          <w:szCs w:val="24"/>
        </w:rPr>
        <w:t xml:space="preserve">xible field </w:t>
      </w:r>
      <w:r w:rsidR="00AC422F">
        <w:rPr>
          <w:rFonts w:ascii="Arial" w:hAnsi="Arial" w:cs="Arial"/>
          <w:sz w:val="24"/>
          <w:szCs w:val="24"/>
        </w:rPr>
        <w:t xml:space="preserve">programs </w:t>
      </w:r>
      <w:r w:rsidR="00AD6972">
        <w:rPr>
          <w:rFonts w:ascii="Arial" w:hAnsi="Arial" w:cs="Arial"/>
          <w:sz w:val="24"/>
          <w:szCs w:val="24"/>
        </w:rPr>
        <w:t xml:space="preserve">can use </w:t>
      </w:r>
      <w:r w:rsidR="00AC422F">
        <w:rPr>
          <w:rFonts w:ascii="Arial" w:hAnsi="Arial" w:cs="Arial"/>
          <w:sz w:val="24"/>
          <w:szCs w:val="24"/>
        </w:rPr>
        <w:t>to identify</w:t>
      </w:r>
      <w:r w:rsidR="00AC422F" w:rsidRPr="00AC422F">
        <w:rPr>
          <w:rFonts w:ascii="Arial" w:hAnsi="Arial" w:cs="Arial"/>
          <w:sz w:val="24"/>
          <w:szCs w:val="24"/>
        </w:rPr>
        <w:t xml:space="preserve"> </w:t>
      </w:r>
      <w:r w:rsidR="00AC422F">
        <w:rPr>
          <w:rFonts w:ascii="Arial" w:hAnsi="Arial" w:cs="Arial"/>
          <w:sz w:val="24"/>
          <w:szCs w:val="24"/>
        </w:rPr>
        <w:t>a p</w:t>
      </w:r>
      <w:r>
        <w:rPr>
          <w:rFonts w:ascii="Arial" w:hAnsi="Arial" w:cs="Arial"/>
          <w:sz w:val="24"/>
          <w:szCs w:val="24"/>
        </w:rPr>
        <w:t>rogram activity entry</w:t>
      </w:r>
      <w:r w:rsidR="00AD6972">
        <w:rPr>
          <w:rFonts w:ascii="Arial" w:hAnsi="Arial" w:cs="Arial"/>
          <w:sz w:val="24"/>
          <w:szCs w:val="24"/>
        </w:rPr>
        <w:t xml:space="preserve"> (see PEARS </w:t>
      </w:r>
      <w:r w:rsidR="00583F7F">
        <w:rPr>
          <w:rFonts w:ascii="Arial" w:hAnsi="Arial" w:cs="Arial"/>
          <w:sz w:val="24"/>
          <w:szCs w:val="24"/>
        </w:rPr>
        <w:t xml:space="preserve">excerpt </w:t>
      </w:r>
      <w:r w:rsidR="00AD6972">
        <w:rPr>
          <w:rFonts w:ascii="Arial" w:hAnsi="Arial" w:cs="Arial"/>
          <w:sz w:val="24"/>
          <w:szCs w:val="24"/>
        </w:rPr>
        <w:t>below)</w:t>
      </w:r>
      <w:r w:rsidR="00AC422F">
        <w:rPr>
          <w:rFonts w:ascii="Arial" w:hAnsi="Arial" w:cs="Arial"/>
          <w:sz w:val="24"/>
          <w:szCs w:val="24"/>
        </w:rPr>
        <w:t xml:space="preserve">.  </w:t>
      </w:r>
    </w:p>
    <w:p w14:paraId="0595AA2E" w14:textId="77777777" w:rsidR="00DC09A3" w:rsidRDefault="00EA0048" w:rsidP="005A698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FF36DB" wp14:editId="64E8220F">
            <wp:extent cx="6581499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0264" cy="123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4967" w14:textId="777B60B6" w:rsidR="00841CC9" w:rsidRDefault="00576006" w:rsidP="005760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Activity Name</w:t>
      </w:r>
    </w:p>
    <w:p w14:paraId="0E42D215" w14:textId="759FD145" w:rsidR="00AC422F" w:rsidRPr="00AC422F" w:rsidRDefault="00AC422F" w:rsidP="005760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the FFY2017 piloting of </w:t>
      </w:r>
      <w:r w:rsidR="00027795">
        <w:rPr>
          <w:rFonts w:ascii="Arial" w:hAnsi="Arial" w:cs="Arial"/>
          <w:sz w:val="24"/>
          <w:szCs w:val="24"/>
        </w:rPr>
        <w:t>the Program Activity module, please use the</w:t>
      </w:r>
      <w:r>
        <w:rPr>
          <w:rFonts w:ascii="Arial" w:hAnsi="Arial" w:cs="Arial"/>
          <w:sz w:val="24"/>
          <w:szCs w:val="24"/>
        </w:rPr>
        <w:t xml:space="preserve"> following naming conventions for the “pr</w:t>
      </w:r>
      <w:r w:rsidR="00027795">
        <w:rPr>
          <w:rFonts w:ascii="Arial" w:hAnsi="Arial" w:cs="Arial"/>
          <w:sz w:val="24"/>
          <w:szCs w:val="24"/>
        </w:rPr>
        <w:t>ogram activity name”. P</w:t>
      </w:r>
      <w:r>
        <w:rPr>
          <w:rFonts w:ascii="Arial" w:hAnsi="Arial" w:cs="Arial"/>
          <w:sz w:val="24"/>
          <w:szCs w:val="24"/>
        </w:rPr>
        <w:t xml:space="preserve">rograms can also choose to add additional information to the name based on their specific needs and interests. </w:t>
      </w:r>
      <w:bookmarkStart w:id="0" w:name="_GoBack"/>
      <w:bookmarkEnd w:id="0"/>
    </w:p>
    <w:p w14:paraId="3482250E" w14:textId="77777777" w:rsidR="00AC422F" w:rsidRPr="00AC422F" w:rsidRDefault="00F65A96" w:rsidP="00AC42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Focus </w:t>
      </w:r>
      <w:r w:rsidR="00AC422F" w:rsidRPr="00AC422F">
        <w:rPr>
          <w:rFonts w:ascii="Arial" w:hAnsi="Arial" w:cs="Arial"/>
          <w:b/>
          <w:sz w:val="24"/>
          <w:szCs w:val="24"/>
        </w:rPr>
        <w:t>Audience</w:t>
      </w:r>
      <w:r>
        <w:rPr>
          <w:rFonts w:ascii="Arial" w:hAnsi="Arial" w:cs="Arial"/>
          <w:b/>
          <w:sz w:val="24"/>
          <w:szCs w:val="24"/>
        </w:rPr>
        <w:t xml:space="preserve"> and single vs.</w:t>
      </w:r>
      <w:r w:rsidR="00AC422F" w:rsidRPr="00AC422F">
        <w:rPr>
          <w:rFonts w:ascii="Arial" w:hAnsi="Arial" w:cs="Arial"/>
          <w:b/>
          <w:sz w:val="24"/>
          <w:szCs w:val="24"/>
        </w:rPr>
        <w:t xml:space="preserve"> series format</w:t>
      </w:r>
    </w:p>
    <w:p w14:paraId="7FD4511D" w14:textId="7577939F" w:rsidR="00DC09A3" w:rsidRPr="005552C1" w:rsidRDefault="00AC422F" w:rsidP="00DC09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programs deliver </w:t>
      </w:r>
      <w:r w:rsidR="005552C1">
        <w:rPr>
          <w:rFonts w:ascii="Arial" w:hAnsi="Arial" w:cs="Arial"/>
          <w:sz w:val="24"/>
          <w:szCs w:val="24"/>
        </w:rPr>
        <w:t xml:space="preserve">direct </w:t>
      </w:r>
      <w:r>
        <w:rPr>
          <w:rFonts w:ascii="Arial" w:hAnsi="Arial" w:cs="Arial"/>
          <w:sz w:val="24"/>
          <w:szCs w:val="24"/>
        </w:rPr>
        <w:t xml:space="preserve">education focused on specific audiences – youth, adult and/or family – and either in a single or multi-session format.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7795">
        <w:rPr>
          <w:rFonts w:ascii="Arial" w:hAnsi="Arial" w:cs="Arial"/>
          <w:sz w:val="24"/>
          <w:szCs w:val="24"/>
        </w:rPr>
        <w:t xml:space="preserve">See below for </w:t>
      </w:r>
      <w:r w:rsidR="005552C1">
        <w:rPr>
          <w:rFonts w:ascii="Arial" w:hAnsi="Arial" w:cs="Arial"/>
          <w:sz w:val="24"/>
          <w:szCs w:val="24"/>
        </w:rPr>
        <w:t xml:space="preserve">short-form program activity names based on these common types of direct education.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755"/>
        <w:gridCol w:w="4680"/>
      </w:tblGrid>
      <w:tr w:rsidR="00AD6972" w14:paraId="7FEB9434" w14:textId="77777777" w:rsidTr="00BC3176">
        <w:tc>
          <w:tcPr>
            <w:tcW w:w="5755" w:type="dxa"/>
          </w:tcPr>
          <w:p w14:paraId="0F38CD3C" w14:textId="77777777" w:rsidR="00AD6972" w:rsidRDefault="00AD6972" w:rsidP="00DC09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Direct Education</w:t>
            </w:r>
          </w:p>
        </w:tc>
        <w:tc>
          <w:tcPr>
            <w:tcW w:w="4680" w:type="dxa"/>
          </w:tcPr>
          <w:p w14:paraId="1126287A" w14:textId="2D6964B0" w:rsidR="00AD6972" w:rsidRDefault="00AD6972" w:rsidP="00DC09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Short-form </w:t>
            </w:r>
            <w:r w:rsidR="00583F7F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/>
                <w:sz w:val="24"/>
                <w:szCs w:val="24"/>
              </w:rPr>
              <w:t>to be entered</w:t>
            </w:r>
          </w:p>
        </w:tc>
      </w:tr>
      <w:tr w:rsidR="00AD6972" w14:paraId="129E5595" w14:textId="77777777" w:rsidTr="00BC3176">
        <w:trPr>
          <w:trHeight w:val="593"/>
        </w:trPr>
        <w:tc>
          <w:tcPr>
            <w:tcW w:w="5755" w:type="dxa"/>
          </w:tcPr>
          <w:p w14:paraId="37A0583B" w14:textId="77777777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Youth Education – series </w:t>
            </w:r>
          </w:p>
          <w:p w14:paraId="4D7D3A2D" w14:textId="1D65A0F5" w:rsidR="00AD6972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Youth Education – single session/workshop</w:t>
            </w:r>
          </w:p>
        </w:tc>
        <w:tc>
          <w:tcPr>
            <w:tcW w:w="4680" w:type="dxa"/>
          </w:tcPr>
          <w:p w14:paraId="661901F2" w14:textId="77777777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 – series</w:t>
            </w:r>
          </w:p>
          <w:p w14:paraId="6B00A3F1" w14:textId="7CD5288B" w:rsidR="00AD6972" w:rsidRPr="00AD6972" w:rsidRDefault="00583F7F" w:rsidP="00BC31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AD6972">
              <w:rPr>
                <w:rFonts w:ascii="Arial" w:hAnsi="Arial" w:cs="Arial"/>
                <w:sz w:val="24"/>
                <w:szCs w:val="24"/>
              </w:rPr>
              <w:t xml:space="preserve">E – </w:t>
            </w:r>
            <w:r w:rsidR="00BC3176">
              <w:rPr>
                <w:rFonts w:ascii="Arial" w:hAnsi="Arial" w:cs="Arial"/>
                <w:sz w:val="24"/>
                <w:szCs w:val="24"/>
              </w:rPr>
              <w:t xml:space="preserve">single </w:t>
            </w:r>
          </w:p>
        </w:tc>
      </w:tr>
      <w:tr w:rsidR="00583F7F" w14:paraId="3135A1EF" w14:textId="77777777" w:rsidTr="00BC3176">
        <w:tc>
          <w:tcPr>
            <w:tcW w:w="5755" w:type="dxa"/>
          </w:tcPr>
          <w:p w14:paraId="1DCB2AC6" w14:textId="77777777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Education – series</w:t>
            </w:r>
          </w:p>
          <w:p w14:paraId="0844D6AE" w14:textId="1634A874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Education – single session/workshop</w:t>
            </w:r>
          </w:p>
        </w:tc>
        <w:tc>
          <w:tcPr>
            <w:tcW w:w="4680" w:type="dxa"/>
          </w:tcPr>
          <w:p w14:paraId="239CD738" w14:textId="77777777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 – series</w:t>
            </w:r>
          </w:p>
          <w:p w14:paraId="53EC7447" w14:textId="1E3B5428" w:rsidR="00583F7F" w:rsidRDefault="00BC3176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AE – single </w:t>
            </w:r>
          </w:p>
        </w:tc>
      </w:tr>
      <w:tr w:rsidR="00583F7F" w14:paraId="5CB1057F" w14:textId="77777777" w:rsidTr="00BC3176">
        <w:tc>
          <w:tcPr>
            <w:tcW w:w="5755" w:type="dxa"/>
          </w:tcPr>
          <w:p w14:paraId="4C2B2861" w14:textId="092498AA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Education –series</w:t>
            </w:r>
          </w:p>
          <w:p w14:paraId="103734A7" w14:textId="77D0B314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Education – single session/workshop</w:t>
            </w:r>
          </w:p>
        </w:tc>
        <w:tc>
          <w:tcPr>
            <w:tcW w:w="4680" w:type="dxa"/>
          </w:tcPr>
          <w:p w14:paraId="7383DC4F" w14:textId="77777777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– series </w:t>
            </w:r>
          </w:p>
          <w:p w14:paraId="30EBAF4E" w14:textId="71DACBB0" w:rsidR="00583F7F" w:rsidRDefault="00BC3176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- single </w:t>
            </w:r>
          </w:p>
        </w:tc>
      </w:tr>
      <w:tr w:rsidR="00583F7F" w14:paraId="2602B664" w14:textId="77777777" w:rsidTr="00BC3176">
        <w:tc>
          <w:tcPr>
            <w:tcW w:w="5755" w:type="dxa"/>
          </w:tcPr>
          <w:p w14:paraId="1046060E" w14:textId="77777777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Education – series</w:t>
            </w:r>
          </w:p>
          <w:p w14:paraId="16C2E1F3" w14:textId="6963037A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Education  – single session/workshop</w:t>
            </w:r>
          </w:p>
        </w:tc>
        <w:tc>
          <w:tcPr>
            <w:tcW w:w="4680" w:type="dxa"/>
          </w:tcPr>
          <w:p w14:paraId="50F59216" w14:textId="77777777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 – series</w:t>
            </w:r>
          </w:p>
          <w:p w14:paraId="67D308BA" w14:textId="75374BF1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D6972">
              <w:rPr>
                <w:rFonts w:ascii="Arial" w:hAnsi="Arial" w:cs="Arial"/>
                <w:sz w:val="24"/>
                <w:szCs w:val="24"/>
              </w:rPr>
              <w:t>E –</w:t>
            </w:r>
            <w:r w:rsidR="00BC3176">
              <w:rPr>
                <w:rFonts w:ascii="Arial" w:hAnsi="Arial" w:cs="Arial"/>
                <w:sz w:val="24"/>
                <w:szCs w:val="24"/>
              </w:rPr>
              <w:t xml:space="preserve"> single </w:t>
            </w:r>
          </w:p>
        </w:tc>
      </w:tr>
      <w:tr w:rsidR="00583F7F" w14:paraId="0A8BAD05" w14:textId="77777777" w:rsidTr="00BC3176">
        <w:tc>
          <w:tcPr>
            <w:tcW w:w="5755" w:type="dxa"/>
          </w:tcPr>
          <w:p w14:paraId="48AC7D82" w14:textId="77777777" w:rsid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General/All ages Education – series </w:t>
            </w:r>
          </w:p>
          <w:p w14:paraId="366A9EB4" w14:textId="7CC8ACA1" w:rsidR="00583F7F" w:rsidRPr="00AD6972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General/All ages  – single session/workshop</w:t>
            </w:r>
          </w:p>
        </w:tc>
        <w:tc>
          <w:tcPr>
            <w:tcW w:w="4680" w:type="dxa"/>
          </w:tcPr>
          <w:p w14:paraId="1ABF6E8F" w14:textId="77777777" w:rsidR="00583F7F" w:rsidRPr="00583F7F" w:rsidRDefault="00583F7F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 – series </w:t>
            </w:r>
          </w:p>
          <w:p w14:paraId="30F6E3BE" w14:textId="0FFFB876" w:rsidR="00583F7F" w:rsidRPr="00AD6972" w:rsidRDefault="00BC3176" w:rsidP="00583F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 - single </w:t>
            </w:r>
          </w:p>
        </w:tc>
      </w:tr>
    </w:tbl>
    <w:p w14:paraId="33503B15" w14:textId="77777777" w:rsidR="002B6BE1" w:rsidRDefault="002B6BE1" w:rsidP="002B6B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00C001" w14:textId="704F9BC7" w:rsidR="00146BD0" w:rsidRPr="0012379B" w:rsidRDefault="00655D44" w:rsidP="005A69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programs might want to include other specific information </w:t>
      </w:r>
      <w:r w:rsidR="00E541D4">
        <w:rPr>
          <w:rFonts w:ascii="Arial" w:hAnsi="Arial" w:cs="Arial"/>
          <w:sz w:val="24"/>
          <w:szCs w:val="24"/>
        </w:rPr>
        <w:t xml:space="preserve">in the program activity name that is </w:t>
      </w:r>
      <w:r>
        <w:rPr>
          <w:rFonts w:ascii="Arial" w:hAnsi="Arial" w:cs="Arial"/>
          <w:sz w:val="24"/>
          <w:szCs w:val="24"/>
        </w:rPr>
        <w:t xml:space="preserve">not already available as one of the filtering options </w:t>
      </w:r>
      <w:r w:rsidR="00C41AFA">
        <w:rPr>
          <w:rFonts w:ascii="Arial" w:hAnsi="Arial" w:cs="Arial"/>
          <w:b/>
          <w:sz w:val="24"/>
          <w:szCs w:val="24"/>
        </w:rPr>
        <w:t>e.g.</w:t>
      </w:r>
      <w:r w:rsidRPr="002B6BE1">
        <w:rPr>
          <w:rFonts w:ascii="Arial" w:hAnsi="Arial" w:cs="Arial"/>
          <w:b/>
          <w:sz w:val="24"/>
          <w:szCs w:val="24"/>
        </w:rPr>
        <w:t xml:space="preserve"> </w:t>
      </w:r>
      <w:r w:rsidR="002B6BE1" w:rsidRPr="002B6BE1">
        <w:rPr>
          <w:rFonts w:ascii="Arial" w:hAnsi="Arial" w:cs="Arial"/>
          <w:b/>
          <w:sz w:val="24"/>
          <w:szCs w:val="24"/>
        </w:rPr>
        <w:t>subcontractor</w:t>
      </w:r>
      <w:r w:rsidR="00C41AFA">
        <w:rPr>
          <w:rFonts w:ascii="Arial" w:hAnsi="Arial" w:cs="Arial"/>
          <w:b/>
          <w:sz w:val="24"/>
          <w:szCs w:val="24"/>
        </w:rPr>
        <w:t xml:space="preserve"> or educator</w:t>
      </w:r>
      <w:r w:rsidR="002B6BE1" w:rsidRPr="002B6BE1">
        <w:rPr>
          <w:rFonts w:ascii="Arial" w:hAnsi="Arial" w:cs="Arial"/>
          <w:b/>
          <w:sz w:val="24"/>
          <w:szCs w:val="24"/>
        </w:rPr>
        <w:t xml:space="preserve"> that delivered intervention,</w:t>
      </w:r>
      <w:r w:rsidR="002B6BE1">
        <w:rPr>
          <w:rFonts w:ascii="Arial" w:hAnsi="Arial" w:cs="Arial"/>
          <w:sz w:val="24"/>
          <w:szCs w:val="24"/>
        </w:rPr>
        <w:t xml:space="preserve"> </w:t>
      </w:r>
      <w:r w:rsidRPr="0012379B">
        <w:rPr>
          <w:rFonts w:ascii="Arial" w:hAnsi="Arial" w:cs="Arial"/>
          <w:b/>
          <w:sz w:val="24"/>
          <w:szCs w:val="24"/>
        </w:rPr>
        <w:t xml:space="preserve">language session delivered in, classroom number or </w:t>
      </w:r>
      <w:r w:rsidR="00993881" w:rsidRPr="0012379B">
        <w:rPr>
          <w:rFonts w:ascii="Arial" w:hAnsi="Arial" w:cs="Arial"/>
          <w:b/>
          <w:sz w:val="24"/>
          <w:szCs w:val="24"/>
        </w:rPr>
        <w:t xml:space="preserve">volunteer </w:t>
      </w:r>
      <w:r w:rsidRPr="0012379B">
        <w:rPr>
          <w:rFonts w:ascii="Arial" w:hAnsi="Arial" w:cs="Arial"/>
          <w:b/>
          <w:sz w:val="24"/>
          <w:szCs w:val="24"/>
        </w:rPr>
        <w:t>teacher</w:t>
      </w:r>
      <w:r w:rsidR="00993881" w:rsidRPr="0012379B">
        <w:rPr>
          <w:rFonts w:ascii="Arial" w:hAnsi="Arial" w:cs="Arial"/>
          <w:b/>
          <w:sz w:val="24"/>
          <w:szCs w:val="24"/>
        </w:rPr>
        <w:t>’s</w:t>
      </w:r>
      <w:r w:rsidRPr="0012379B">
        <w:rPr>
          <w:rFonts w:ascii="Arial" w:hAnsi="Arial" w:cs="Arial"/>
          <w:b/>
          <w:sz w:val="24"/>
          <w:szCs w:val="24"/>
        </w:rPr>
        <w:t xml:space="preserve"> name</w:t>
      </w:r>
      <w:r w:rsidR="00AF4E35" w:rsidRPr="0012379B">
        <w:rPr>
          <w:rFonts w:ascii="Arial" w:hAnsi="Arial" w:cs="Arial"/>
          <w:b/>
          <w:sz w:val="24"/>
          <w:szCs w:val="24"/>
        </w:rPr>
        <w:t xml:space="preserve">, other education formats such as garden-based or store tours or topic focus such as physical activity. </w:t>
      </w:r>
      <w:r w:rsidR="00146BD0">
        <w:rPr>
          <w:rFonts w:ascii="Arial" w:hAnsi="Arial" w:cs="Arial"/>
          <w:b/>
          <w:sz w:val="24"/>
          <w:szCs w:val="24"/>
        </w:rPr>
        <w:t xml:space="preserve">  </w:t>
      </w:r>
    </w:p>
    <w:sectPr w:rsidR="00146BD0" w:rsidRPr="0012379B" w:rsidSect="002604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EF961" w14:textId="77777777" w:rsidR="00A3275C" w:rsidRDefault="00A3275C" w:rsidP="000776CB">
      <w:pPr>
        <w:spacing w:after="0" w:line="240" w:lineRule="auto"/>
      </w:pPr>
      <w:r>
        <w:separator/>
      </w:r>
    </w:p>
  </w:endnote>
  <w:endnote w:type="continuationSeparator" w:id="0">
    <w:p w14:paraId="7D47A638" w14:textId="77777777" w:rsidR="00A3275C" w:rsidRDefault="00A3275C" w:rsidP="0007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E0EF9" w14:textId="77777777" w:rsidR="00A3275C" w:rsidRDefault="00A3275C" w:rsidP="000776CB">
      <w:pPr>
        <w:spacing w:after="0" w:line="240" w:lineRule="auto"/>
      </w:pPr>
      <w:r>
        <w:separator/>
      </w:r>
    </w:p>
  </w:footnote>
  <w:footnote w:type="continuationSeparator" w:id="0">
    <w:p w14:paraId="2DEF7643" w14:textId="77777777" w:rsidR="00A3275C" w:rsidRDefault="00A3275C" w:rsidP="0007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77D"/>
    <w:multiLevelType w:val="hybridMultilevel"/>
    <w:tmpl w:val="EB1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2C5"/>
    <w:multiLevelType w:val="hybridMultilevel"/>
    <w:tmpl w:val="47C6F998"/>
    <w:lvl w:ilvl="0" w:tplc="588C8B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D17AA"/>
    <w:multiLevelType w:val="hybridMultilevel"/>
    <w:tmpl w:val="4C26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466E"/>
    <w:multiLevelType w:val="hybridMultilevel"/>
    <w:tmpl w:val="7CE8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25547"/>
    <w:multiLevelType w:val="hybridMultilevel"/>
    <w:tmpl w:val="18AE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12686"/>
    <w:multiLevelType w:val="hybridMultilevel"/>
    <w:tmpl w:val="2D3A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B0886"/>
    <w:multiLevelType w:val="hybridMultilevel"/>
    <w:tmpl w:val="74BA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8C"/>
    <w:rsid w:val="00027795"/>
    <w:rsid w:val="000776CB"/>
    <w:rsid w:val="0012379B"/>
    <w:rsid w:val="00127867"/>
    <w:rsid w:val="001322CC"/>
    <w:rsid w:val="00146BD0"/>
    <w:rsid w:val="00163E71"/>
    <w:rsid w:val="00164145"/>
    <w:rsid w:val="00232D65"/>
    <w:rsid w:val="0026041F"/>
    <w:rsid w:val="002B5789"/>
    <w:rsid w:val="002B6BE1"/>
    <w:rsid w:val="002C57F2"/>
    <w:rsid w:val="003862D8"/>
    <w:rsid w:val="003B5FAC"/>
    <w:rsid w:val="00411AB7"/>
    <w:rsid w:val="00491E78"/>
    <w:rsid w:val="00511D99"/>
    <w:rsid w:val="005552C1"/>
    <w:rsid w:val="00576006"/>
    <w:rsid w:val="00583F7F"/>
    <w:rsid w:val="005A5A1E"/>
    <w:rsid w:val="005A698C"/>
    <w:rsid w:val="005E6244"/>
    <w:rsid w:val="00652D99"/>
    <w:rsid w:val="00655D44"/>
    <w:rsid w:val="00673A48"/>
    <w:rsid w:val="007414B5"/>
    <w:rsid w:val="007561EA"/>
    <w:rsid w:val="007E1B21"/>
    <w:rsid w:val="00841CC9"/>
    <w:rsid w:val="00993881"/>
    <w:rsid w:val="00A3275C"/>
    <w:rsid w:val="00AC422F"/>
    <w:rsid w:val="00AD6972"/>
    <w:rsid w:val="00AF4E35"/>
    <w:rsid w:val="00BC3176"/>
    <w:rsid w:val="00C41AFA"/>
    <w:rsid w:val="00C94E15"/>
    <w:rsid w:val="00CA775F"/>
    <w:rsid w:val="00D2437D"/>
    <w:rsid w:val="00DC09A3"/>
    <w:rsid w:val="00E029BE"/>
    <w:rsid w:val="00E35010"/>
    <w:rsid w:val="00E541D4"/>
    <w:rsid w:val="00EA0048"/>
    <w:rsid w:val="00F6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B96B99"/>
  <w15:chartTrackingRefBased/>
  <w15:docId w15:val="{D0AC08F7-101F-4745-B1C5-89EA55BF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CB"/>
  </w:style>
  <w:style w:type="paragraph" w:styleId="Footer">
    <w:name w:val="footer"/>
    <w:basedOn w:val="Normal"/>
    <w:link w:val="FooterChar"/>
    <w:uiPriority w:val="99"/>
    <w:unhideWhenUsed/>
    <w:rsid w:val="0007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CB"/>
  </w:style>
  <w:style w:type="table" w:styleId="TableGrid">
    <w:name w:val="Table Grid"/>
    <w:basedOn w:val="TableNormal"/>
    <w:uiPriority w:val="39"/>
    <w:rsid w:val="00AD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1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4" ma:contentTypeDescription="Create a new document." ma:contentTypeScope="" ma:versionID="c4bee075e4ddc6e26a03ebf9bd36c6e3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3dcd5ed20507b52e956f686225dbdd0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F8FFF-A966-4AA4-B129-35C0B651A731}"/>
</file>

<file path=customXml/itemProps2.xml><?xml version="1.0" encoding="utf-8"?>
<ds:datastoreItem xmlns:ds="http://schemas.openxmlformats.org/officeDocument/2006/customXml" ds:itemID="{5FC078DD-39DD-4FF6-9870-8B5BF59A5C38}"/>
</file>

<file path=customXml/itemProps3.xml><?xml version="1.0" encoding="utf-8"?>
<ds:datastoreItem xmlns:ds="http://schemas.openxmlformats.org/officeDocument/2006/customXml" ds:itemID="{6DC76A75-95B0-45C3-BB62-58FED0236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MkNelly</dc:creator>
  <cp:keywords/>
  <dc:description/>
  <cp:lastModifiedBy>Talmage, Evan  (CDPH-PS-CDIC-CPNS)</cp:lastModifiedBy>
  <cp:revision>2</cp:revision>
  <cp:lastPrinted>2017-08-08T18:18:00Z</cp:lastPrinted>
  <dcterms:created xsi:type="dcterms:W3CDTF">2017-11-17T01:05:00Z</dcterms:created>
  <dcterms:modified xsi:type="dcterms:W3CDTF">2017-11-17T01:05:00Z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