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610" w:type="dxa"/>
        <w:tblInd w:w="-702" w:type="dxa"/>
        <w:tblLayout w:type="fixed"/>
        <w:tblLook w:val="04A0" w:firstRow="1" w:lastRow="0" w:firstColumn="1" w:lastColumn="0" w:noHBand="0" w:noVBand="1"/>
      </w:tblPr>
      <w:tblGrid>
        <w:gridCol w:w="5220"/>
        <w:gridCol w:w="3870"/>
        <w:gridCol w:w="2520"/>
      </w:tblGrid>
      <w:tr w:rsidR="007E14E1" w:rsidTr="00ED3505">
        <w:trPr>
          <w:trHeight w:val="242"/>
        </w:trPr>
        <w:tc>
          <w:tcPr>
            <w:tcW w:w="11610" w:type="dxa"/>
            <w:gridSpan w:val="3"/>
            <w:shd w:val="clear" w:color="auto" w:fill="F1B305"/>
          </w:tcPr>
          <w:p w:rsidR="007E14E1" w:rsidRPr="007E14E1" w:rsidRDefault="007E14E1" w:rsidP="00481EE1">
            <w:pPr>
              <w:spacing w:before="60"/>
              <w:jc w:val="center"/>
              <w:rPr>
                <w:rFonts w:asciiTheme="majorHAnsi" w:eastAsiaTheme="majorEastAsia" w:hAnsiTheme="majorHAnsi" w:cstheme="majorHAnsi"/>
              </w:rPr>
            </w:pPr>
            <w:r w:rsidRPr="007E14E1">
              <w:rPr>
                <w:rFonts w:asciiTheme="majorHAnsi" w:hAnsiTheme="majorHAnsi" w:cstheme="majorHAnsi"/>
                <w:sz w:val="21"/>
                <w:szCs w:val="21"/>
              </w:rPr>
              <w:t xml:space="preserve">For information regarding </w:t>
            </w:r>
            <w:hyperlink r:id="rId9" w:history="1">
              <w:r w:rsidRPr="007E14E1">
                <w:rPr>
                  <w:rStyle w:val="Hyperlink"/>
                  <w:rFonts w:asciiTheme="majorHAnsi" w:hAnsiTheme="majorHAnsi" w:cstheme="majorHAnsi"/>
                  <w:sz w:val="21"/>
                  <w:szCs w:val="21"/>
                </w:rPr>
                <w:t>ANR Staff Personnel</w:t>
              </w:r>
            </w:hyperlink>
            <w:r w:rsidRPr="007E14E1">
              <w:rPr>
                <w:rFonts w:asciiTheme="majorHAnsi" w:hAnsiTheme="majorHAnsi" w:cstheme="majorHAnsi"/>
                <w:sz w:val="21"/>
                <w:szCs w:val="21"/>
              </w:rPr>
              <w:t xml:space="preserve"> visit our webpage!</w:t>
            </w:r>
          </w:p>
        </w:tc>
      </w:tr>
      <w:tr w:rsidR="007E14E1" w:rsidTr="00ED3505">
        <w:trPr>
          <w:trHeight w:val="3797"/>
        </w:trPr>
        <w:tc>
          <w:tcPr>
            <w:tcW w:w="9090" w:type="dxa"/>
            <w:gridSpan w:val="2"/>
            <w:shd w:val="clear" w:color="auto" w:fill="DBE5F1"/>
          </w:tcPr>
          <w:p w:rsidR="007E14E1" w:rsidRPr="008B47D7" w:rsidRDefault="007E14E1" w:rsidP="005047B6">
            <w:pPr>
              <w:rPr>
                <w:rFonts w:eastAsiaTheme="majorEastAsia"/>
                <w:sz w:val="8"/>
                <w:szCs w:val="8"/>
              </w:rPr>
            </w:pPr>
          </w:p>
          <w:tbl>
            <w:tblPr>
              <w:tblStyle w:val="TableGrid"/>
              <w:tblW w:w="0" w:type="auto"/>
              <w:tblLayout w:type="fixed"/>
              <w:tblLook w:val="04A0" w:firstRow="1" w:lastRow="0" w:firstColumn="1" w:lastColumn="0" w:noHBand="0" w:noVBand="1"/>
            </w:tblPr>
            <w:tblGrid>
              <w:gridCol w:w="8887"/>
            </w:tblGrid>
            <w:tr w:rsidR="005047B6" w:rsidTr="00B857E4">
              <w:tc>
                <w:tcPr>
                  <w:tcW w:w="8887" w:type="dxa"/>
                  <w:shd w:val="clear" w:color="auto" w:fill="003399"/>
                </w:tcPr>
                <w:p w:rsidR="005047B6" w:rsidRPr="005047B6" w:rsidRDefault="004E5148" w:rsidP="00831192">
                  <w:pPr>
                    <w:rPr>
                      <w:rFonts w:asciiTheme="majorHAnsi" w:eastAsiaTheme="majorEastAsia" w:hAnsiTheme="majorHAnsi" w:cstheme="majorHAnsi"/>
                      <w:sz w:val="22"/>
                      <w:szCs w:val="22"/>
                    </w:rPr>
                  </w:pPr>
                  <w:r>
                    <w:rPr>
                      <w:b/>
                      <w:bCs/>
                      <w:u w:val="single"/>
                    </w:rPr>
                    <w:t>December Closure Days</w:t>
                  </w:r>
                </w:p>
              </w:tc>
            </w:tr>
          </w:tbl>
          <w:p w:rsidR="00B857E4" w:rsidRDefault="00B857E4" w:rsidP="00B857E4">
            <w:pPr>
              <w:rPr>
                <w:rFonts w:asciiTheme="majorHAnsi" w:hAnsiTheme="majorHAnsi" w:cstheme="majorHAnsi"/>
                <w:sz w:val="16"/>
                <w:szCs w:val="16"/>
              </w:rPr>
            </w:pPr>
          </w:p>
          <w:p w:rsidR="00831192" w:rsidRDefault="00831192" w:rsidP="00831192">
            <w:pPr>
              <w:rPr>
                <w:color w:val="000000"/>
              </w:rPr>
            </w:pPr>
            <w:r w:rsidRPr="00B05460">
              <w:rPr>
                <w:rFonts w:asciiTheme="majorHAnsi" w:eastAsiaTheme="majorEastAsia" w:hAnsiTheme="majorHAnsi" w:cstheme="majorHAnsi"/>
                <w:b/>
                <w:color w:val="F1B305"/>
              </w:rPr>
              <w:t>A</w:t>
            </w:r>
          </w:p>
          <w:p w:rsidR="00831192" w:rsidRDefault="00831192" w:rsidP="00831192">
            <w:pPr>
              <w:rPr>
                <w:color w:val="000000"/>
              </w:rPr>
            </w:pPr>
          </w:p>
          <w:p w:rsidR="004E5148" w:rsidRDefault="004E5148" w:rsidP="004E5148">
            <w:pPr>
              <w:rPr>
                <w:rFonts w:ascii="Cambria" w:hAnsi="Cambria"/>
              </w:rPr>
            </w:pPr>
            <w:r>
              <w:t>With the December closure days fast approaching, we wanted to remind you that in the event an employee has not accumulated a sufficient amount of vacation time before December to cover the closure days, arrangements may be made to allow those individuals to borrow against future vacation time to cover the closure days. Please work with your supervisor or director to arrange the details.</w:t>
            </w:r>
          </w:p>
          <w:p w:rsidR="004E5148" w:rsidRDefault="004E5148" w:rsidP="004E5148">
            <w:pPr>
              <w:rPr>
                <w:rFonts w:ascii="Cambria" w:hAnsi="Cambria"/>
              </w:rPr>
            </w:pPr>
          </w:p>
          <w:p w:rsidR="004E5148" w:rsidRDefault="004E5148" w:rsidP="004E5148">
            <w:pPr>
              <w:jc w:val="right"/>
              <w:rPr>
                <w:rFonts w:ascii="Cambria" w:hAnsi="Cambria"/>
              </w:rPr>
            </w:pPr>
            <w:r>
              <w:rPr>
                <w:rFonts w:ascii="Cambria" w:hAnsi="Cambria"/>
              </w:rPr>
              <w:t>Jamie Banta</w:t>
            </w:r>
          </w:p>
          <w:p w:rsidR="00B857E4" w:rsidRPr="00A375A9" w:rsidRDefault="004E5148" w:rsidP="004E5148">
            <w:pPr>
              <w:jc w:val="right"/>
              <w:rPr>
                <w:rFonts w:asciiTheme="majorHAnsi" w:hAnsiTheme="majorHAnsi" w:cstheme="majorHAnsi"/>
                <w:sz w:val="22"/>
                <w:szCs w:val="22"/>
              </w:rPr>
            </w:pPr>
            <w:r>
              <w:rPr>
                <w:rFonts w:ascii="Cambria" w:hAnsi="Cambria"/>
              </w:rPr>
              <w:t>Personnel Analyst</w:t>
            </w:r>
          </w:p>
        </w:tc>
        <w:tc>
          <w:tcPr>
            <w:tcW w:w="2520" w:type="dxa"/>
            <w:shd w:val="clear" w:color="auto" w:fill="DBE5F1"/>
          </w:tcPr>
          <w:p w:rsidR="00E81564" w:rsidRPr="00E81564" w:rsidRDefault="00E81564" w:rsidP="00E81564">
            <w:pPr>
              <w:ind w:right="144"/>
              <w:jc w:val="both"/>
              <w:rPr>
                <w:rFonts w:asciiTheme="majorHAnsi" w:hAnsiTheme="majorHAnsi" w:cstheme="majorHAnsi"/>
                <w:sz w:val="8"/>
                <w:szCs w:val="8"/>
              </w:rPr>
            </w:pPr>
          </w:p>
          <w:tbl>
            <w:tblPr>
              <w:tblStyle w:val="TableGrid"/>
              <w:tblW w:w="2317" w:type="dxa"/>
              <w:tblLayout w:type="fixed"/>
              <w:tblLook w:val="04A0" w:firstRow="1" w:lastRow="0" w:firstColumn="1" w:lastColumn="0" w:noHBand="0" w:noVBand="1"/>
            </w:tblPr>
            <w:tblGrid>
              <w:gridCol w:w="2317"/>
            </w:tblGrid>
            <w:tr w:rsidR="00E81564" w:rsidTr="00E81564">
              <w:tc>
                <w:tcPr>
                  <w:tcW w:w="2317" w:type="dxa"/>
                  <w:shd w:val="clear" w:color="auto" w:fill="003399"/>
                </w:tcPr>
                <w:p w:rsidR="00E81564" w:rsidRPr="00E81564" w:rsidRDefault="00E81564" w:rsidP="0055760E">
                  <w:pPr>
                    <w:ind w:right="144"/>
                    <w:jc w:val="both"/>
                    <w:rPr>
                      <w:rFonts w:asciiTheme="majorHAnsi" w:hAnsiTheme="majorHAnsi" w:cstheme="majorHAnsi"/>
                      <w:b/>
                      <w:sz w:val="22"/>
                      <w:szCs w:val="22"/>
                      <w:u w:val="single"/>
                    </w:rPr>
                  </w:pPr>
                  <w:r>
                    <w:rPr>
                      <w:rFonts w:asciiTheme="majorHAnsi" w:hAnsiTheme="majorHAnsi" w:cstheme="majorHAnsi"/>
                      <w:b/>
                      <w:sz w:val="22"/>
                      <w:szCs w:val="22"/>
                      <w:u w:val="single"/>
                    </w:rPr>
                    <w:t>ANR Unit Key</w:t>
                  </w:r>
                </w:p>
              </w:tc>
            </w:tr>
          </w:tbl>
          <w:p w:rsidR="00E81564" w:rsidRPr="00E81564" w:rsidRDefault="00E81564" w:rsidP="0055760E">
            <w:pPr>
              <w:ind w:left="144" w:right="144"/>
              <w:jc w:val="both"/>
              <w:rPr>
                <w:rFonts w:asciiTheme="majorHAnsi" w:hAnsiTheme="majorHAnsi" w:cstheme="majorHAnsi"/>
                <w:sz w:val="16"/>
                <w:szCs w:val="16"/>
              </w:rPr>
            </w:pPr>
          </w:p>
          <w:p w:rsidR="00481EE1" w:rsidRPr="00481EE1" w:rsidRDefault="00481EE1" w:rsidP="00E81564">
            <w:pPr>
              <w:jc w:val="both"/>
              <w:rPr>
                <w:rFonts w:asciiTheme="majorHAnsi" w:hAnsiTheme="majorHAnsi" w:cstheme="majorHAnsi"/>
                <w:sz w:val="22"/>
                <w:szCs w:val="22"/>
              </w:rPr>
            </w:pPr>
            <w:r w:rsidRPr="00481EE1">
              <w:rPr>
                <w:rFonts w:asciiTheme="majorHAnsi" w:hAnsiTheme="majorHAnsi" w:cstheme="majorHAnsi"/>
                <w:sz w:val="22"/>
                <w:szCs w:val="22"/>
              </w:rPr>
              <w:t>If we use one of the below icons in the article, then the information in that article will apply specifically to those units.</w:t>
            </w:r>
          </w:p>
          <w:p w:rsidR="00B05460" w:rsidRDefault="00B05460" w:rsidP="00B857E4">
            <w:pPr>
              <w:rPr>
                <w:rFonts w:asciiTheme="majorHAnsi" w:hAnsiTheme="majorHAnsi" w:cstheme="majorHAnsi"/>
                <w:sz w:val="22"/>
                <w:szCs w:val="22"/>
              </w:rPr>
            </w:pPr>
          </w:p>
          <w:p w:rsidR="00481EE1" w:rsidRPr="00481EE1"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A</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All Units</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C</w:t>
            </w:r>
            <w:r w:rsidR="00481EE1" w:rsidRPr="00481EE1">
              <w:rPr>
                <w:rFonts w:asciiTheme="majorHAnsi" w:eastAsiaTheme="majorEastAsia" w:hAnsiTheme="majorHAnsi" w:cstheme="majorHAnsi"/>
                <w:sz w:val="22"/>
                <w:szCs w:val="22"/>
              </w:rPr>
              <w:t xml:space="preserve"> = </w:t>
            </w:r>
            <w:r w:rsidR="00C021FF">
              <w:rPr>
                <w:rFonts w:asciiTheme="majorHAnsi" w:eastAsiaTheme="majorEastAsia" w:hAnsiTheme="majorHAnsi" w:cstheme="majorHAnsi"/>
                <w:sz w:val="22"/>
                <w:szCs w:val="22"/>
              </w:rPr>
              <w:t>UCCE</w:t>
            </w:r>
          </w:p>
          <w:p w:rsidR="00B05460" w:rsidRDefault="00B05460" w:rsidP="00B857E4">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D</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Davis Units</w:t>
            </w:r>
          </w:p>
          <w:p w:rsid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O</w:t>
            </w:r>
            <w:r>
              <w:rPr>
                <w:rFonts w:asciiTheme="majorHAnsi" w:eastAsiaTheme="majorEastAsia" w:hAnsiTheme="majorHAnsi" w:cstheme="majorHAnsi"/>
                <w:sz w:val="22"/>
                <w:szCs w:val="22"/>
              </w:rPr>
              <w:t xml:space="preserve"> </w:t>
            </w:r>
            <w:r w:rsidR="00481EE1" w:rsidRPr="00481EE1">
              <w:rPr>
                <w:rFonts w:asciiTheme="majorHAnsi" w:eastAsiaTheme="majorEastAsia" w:hAnsiTheme="majorHAnsi" w:cstheme="majorHAnsi"/>
                <w:sz w:val="22"/>
                <w:szCs w:val="22"/>
              </w:rPr>
              <w:t>= Oakland</w:t>
            </w:r>
            <w:r w:rsidR="00D83CF2">
              <w:rPr>
                <w:rFonts w:asciiTheme="majorHAnsi" w:eastAsiaTheme="majorEastAsia" w:hAnsiTheme="majorHAnsi" w:cstheme="majorHAnsi"/>
                <w:sz w:val="22"/>
                <w:szCs w:val="22"/>
              </w:rPr>
              <w:t xml:space="preserve"> Uni</w:t>
            </w:r>
            <w:r w:rsidR="00481EE1" w:rsidRPr="00481EE1">
              <w:rPr>
                <w:rFonts w:asciiTheme="majorHAnsi" w:eastAsiaTheme="majorEastAsia" w:hAnsiTheme="majorHAnsi" w:cstheme="majorHAnsi"/>
                <w:sz w:val="22"/>
                <w:szCs w:val="22"/>
              </w:rPr>
              <w:t>ts</w:t>
            </w:r>
          </w:p>
          <w:p w:rsidR="00481EE1" w:rsidRPr="00B05460" w:rsidRDefault="00B05460" w:rsidP="00B05460">
            <w:pPr>
              <w:rPr>
                <w:rFonts w:asciiTheme="majorHAnsi" w:eastAsiaTheme="majorEastAsia" w:hAnsiTheme="majorHAnsi" w:cstheme="majorHAnsi"/>
                <w:sz w:val="22"/>
                <w:szCs w:val="22"/>
              </w:rPr>
            </w:pPr>
            <w:r w:rsidRPr="00B05460">
              <w:rPr>
                <w:rFonts w:asciiTheme="majorHAnsi" w:eastAsiaTheme="majorEastAsia" w:hAnsiTheme="majorHAnsi" w:cstheme="majorHAnsi"/>
                <w:b/>
                <w:color w:val="F1B305"/>
              </w:rPr>
              <w:t>R</w:t>
            </w:r>
            <w:r>
              <w:rPr>
                <w:rFonts w:asciiTheme="majorHAnsi" w:eastAsiaTheme="majorEastAsia" w:hAnsiTheme="majorHAnsi" w:cstheme="majorHAnsi"/>
                <w:b/>
                <w:color w:val="F1B305"/>
              </w:rPr>
              <w:t xml:space="preserve"> </w:t>
            </w:r>
            <w:r w:rsidR="00481EE1" w:rsidRPr="00481EE1">
              <w:rPr>
                <w:rFonts w:asciiTheme="majorHAnsi" w:eastAsiaTheme="majorEastAsia" w:hAnsiTheme="majorHAnsi" w:cstheme="majorHAnsi"/>
                <w:sz w:val="22"/>
                <w:szCs w:val="22"/>
              </w:rPr>
              <w:t xml:space="preserve">= </w:t>
            </w:r>
            <w:r w:rsidR="00C021FF">
              <w:rPr>
                <w:rFonts w:asciiTheme="majorHAnsi" w:eastAsiaTheme="majorEastAsia" w:hAnsiTheme="majorHAnsi" w:cstheme="majorHAnsi"/>
                <w:sz w:val="22"/>
                <w:szCs w:val="22"/>
              </w:rPr>
              <w:t>RECS</w:t>
            </w:r>
          </w:p>
        </w:tc>
      </w:tr>
      <w:tr w:rsidR="007E14E1" w:rsidTr="00ED3505">
        <w:trPr>
          <w:trHeight w:val="7325"/>
        </w:trPr>
        <w:tc>
          <w:tcPr>
            <w:tcW w:w="11610" w:type="dxa"/>
            <w:gridSpan w:val="3"/>
            <w:shd w:val="clear" w:color="auto" w:fill="DBE5F1"/>
          </w:tcPr>
          <w:p w:rsidR="007E14E1" w:rsidRPr="008B47D7" w:rsidRDefault="007E14E1" w:rsidP="00481EE1">
            <w:pPr>
              <w:rPr>
                <w:rFonts w:eastAsiaTheme="majorEastAsia"/>
                <w:sz w:val="8"/>
                <w:szCs w:val="8"/>
              </w:rPr>
            </w:pPr>
          </w:p>
          <w:tbl>
            <w:tblPr>
              <w:tblStyle w:val="TableGrid"/>
              <w:tblW w:w="0" w:type="auto"/>
              <w:tblLayout w:type="fixed"/>
              <w:tblLook w:val="04A0" w:firstRow="1" w:lastRow="0" w:firstColumn="1" w:lastColumn="0" w:noHBand="0" w:noVBand="1"/>
            </w:tblPr>
            <w:tblGrid>
              <w:gridCol w:w="11379"/>
            </w:tblGrid>
            <w:tr w:rsidR="00481EE1" w:rsidTr="00B857E4">
              <w:tc>
                <w:tcPr>
                  <w:tcW w:w="11379" w:type="dxa"/>
                  <w:shd w:val="clear" w:color="auto" w:fill="003399"/>
                </w:tcPr>
                <w:p w:rsidR="00481EE1" w:rsidRPr="0028308A" w:rsidRDefault="004E5148" w:rsidP="0028308A">
                  <w:pPr>
                    <w:rPr>
                      <w:rFonts w:ascii="Comic Sans MS" w:hAnsi="Comic Sans MS"/>
                      <w:color w:val="000000"/>
                      <w:sz w:val="22"/>
                      <w:szCs w:val="22"/>
                      <w:u w:val="single"/>
                    </w:rPr>
                  </w:pPr>
                  <w:r>
                    <w:rPr>
                      <w:b/>
                      <w:bCs/>
                      <w:u w:val="single"/>
                    </w:rPr>
                    <w:t>Calculating Costs to Hire (Pay Rates/Benefits)</w:t>
                  </w:r>
                </w:p>
              </w:tc>
            </w:tr>
          </w:tbl>
          <w:p w:rsidR="00D83CF2" w:rsidRDefault="00D83CF2" w:rsidP="00E74E25">
            <w:pPr>
              <w:rPr>
                <w:rFonts w:asciiTheme="majorHAnsi" w:hAnsiTheme="majorHAnsi" w:cstheme="majorHAnsi"/>
                <w:sz w:val="16"/>
                <w:szCs w:val="16"/>
              </w:rPr>
            </w:pPr>
          </w:p>
          <w:p w:rsidR="0028308A" w:rsidRDefault="0028308A" w:rsidP="0028308A">
            <w:r w:rsidRPr="00B05460">
              <w:rPr>
                <w:rFonts w:asciiTheme="majorHAnsi" w:eastAsiaTheme="majorEastAsia" w:hAnsiTheme="majorHAnsi" w:cstheme="majorHAnsi"/>
                <w:b/>
                <w:color w:val="F1B305"/>
              </w:rPr>
              <w:t>A</w:t>
            </w:r>
          </w:p>
          <w:p w:rsidR="0028308A" w:rsidRPr="00831192" w:rsidRDefault="0028308A" w:rsidP="0028308A">
            <w:pPr>
              <w:rPr>
                <w:sz w:val="22"/>
                <w:szCs w:val="22"/>
              </w:rPr>
            </w:pPr>
          </w:p>
          <w:p w:rsidR="00ED3505" w:rsidRDefault="00ED3505" w:rsidP="00ED3505">
            <w:r>
              <w:t xml:space="preserve">While you are calculating your budget please feel free to access these contacts and links to assist you in determining how much it will cost your accounts to hire someone. The two costs that feed into an employee include pay rate and benefits rate. </w:t>
            </w:r>
          </w:p>
          <w:p w:rsidR="00ED3505" w:rsidRDefault="00ED3505" w:rsidP="00ED3505">
            <w:pPr>
              <w:rPr>
                <w:sz w:val="22"/>
                <w:szCs w:val="22"/>
              </w:rPr>
            </w:pPr>
          </w:p>
          <w:p w:rsidR="00ED3505" w:rsidRDefault="00ED3505" w:rsidP="00ED3505">
            <w:r>
              <w:rPr>
                <w:b/>
                <w:bCs/>
              </w:rPr>
              <w:t>Title Code System website:</w:t>
            </w:r>
            <w:r>
              <w:t xml:space="preserve"> </w:t>
            </w:r>
            <w:hyperlink r:id="rId10" w:history="1">
              <w:r>
                <w:rPr>
                  <w:rStyle w:val="Hyperlink"/>
                </w:rPr>
                <w:t>https://sse.ucop.edu/tcs/jsp/nonAcademicTitlesSearch.htm</w:t>
              </w:r>
            </w:hyperlink>
          </w:p>
          <w:p w:rsidR="00ED3505" w:rsidRDefault="00ED3505" w:rsidP="00ED3505">
            <w:r>
              <w:t xml:space="preserve">(Be sure to look for the </w:t>
            </w:r>
            <w:r>
              <w:rPr>
                <w:u w:val="single"/>
              </w:rPr>
              <w:t>current</w:t>
            </w:r>
            <w:r>
              <w:t xml:space="preserve"> salary scale and the appropriate campus salary scale based on your location. Please be sure to contact the Staff Personnel Unit for the appropriate scale which will vary dependent on location and representation.)</w:t>
            </w:r>
          </w:p>
          <w:p w:rsidR="00ED3505" w:rsidRDefault="00ED3505" w:rsidP="00ED3505">
            <w:pPr>
              <w:rPr>
                <w:color w:val="0000FF"/>
              </w:rPr>
            </w:pPr>
          </w:p>
          <w:p w:rsidR="00ED3505" w:rsidRDefault="00ED3505" w:rsidP="00ED3505">
            <w:r>
              <w:rPr>
                <w:b/>
                <w:bCs/>
              </w:rPr>
              <w:t>Composite Benefit Rates:</w:t>
            </w:r>
            <w:r>
              <w:rPr>
                <w:color w:val="0000FF"/>
              </w:rPr>
              <w:t xml:space="preserve"> </w:t>
            </w:r>
            <w:hyperlink r:id="rId11" w:history="1">
              <w:r w:rsidRPr="00ED3505">
                <w:rPr>
                  <w:rStyle w:val="Hyperlink"/>
                  <w:sz w:val="22"/>
                  <w:szCs w:val="22"/>
                </w:rPr>
                <w:t>http://ucanr.org/sites/anrstaff/Administration/Business_Services/Contracts_&amp;_Grants/Composite_Benefit_Rates/</w:t>
              </w:r>
            </w:hyperlink>
            <w:r>
              <w:t xml:space="preserve">  </w:t>
            </w:r>
          </w:p>
          <w:p w:rsidR="00ED3505" w:rsidRPr="00ED3505" w:rsidRDefault="00ED3505" w:rsidP="00ED3505">
            <w:pPr>
              <w:rPr>
                <w:sz w:val="22"/>
                <w:szCs w:val="22"/>
              </w:rPr>
            </w:pPr>
            <w:r w:rsidRPr="00ED3505">
              <w:rPr>
                <w:sz w:val="22"/>
                <w:szCs w:val="22"/>
              </w:rPr>
              <w:t>(Be sure to use the appropriate fiscal year rate based on the period of employment for which you are projecting costs.)</w:t>
            </w:r>
          </w:p>
          <w:p w:rsidR="00ED3505" w:rsidRDefault="00ED3505" w:rsidP="00ED3505">
            <w:pPr>
              <w:rPr>
                <w:color w:val="0000FF"/>
              </w:rPr>
            </w:pPr>
          </w:p>
          <w:p w:rsidR="00ED3505" w:rsidRDefault="00ED3505" w:rsidP="00ED3505">
            <w:r>
              <w:t xml:space="preserve">For guidance in calculations and costs please be sure to contact </w:t>
            </w:r>
            <w:hyperlink r:id="rId12" w:history="1">
              <w:r>
                <w:rPr>
                  <w:rStyle w:val="Hyperlink"/>
                </w:rPr>
                <w:t>Business Operations Center at Kearney</w:t>
              </w:r>
            </w:hyperlink>
            <w:r>
              <w:t xml:space="preserve"> for the county offices and </w:t>
            </w:r>
            <w:hyperlink r:id="rId13" w:history="1">
              <w:r>
                <w:rPr>
                  <w:rStyle w:val="Hyperlink"/>
                </w:rPr>
                <w:t>Business Operations Center at Davis</w:t>
              </w:r>
            </w:hyperlink>
            <w:r>
              <w:t xml:space="preserve"> for units located on campus. Research and Extension Centers should continue to work with their previous contacts.</w:t>
            </w:r>
          </w:p>
          <w:p w:rsidR="00ED3505" w:rsidRDefault="00ED3505" w:rsidP="00ED3505"/>
          <w:p w:rsidR="00ED3505" w:rsidRDefault="00ED3505" w:rsidP="00ED3505">
            <w:pPr>
              <w:rPr>
                <w:color w:val="000000"/>
              </w:rPr>
            </w:pPr>
            <w:r>
              <w:t xml:space="preserve">For assistance determining appointment type, percent time, duration, title codes, and applicable salary scale, contact Staff Personnel Unit at </w:t>
            </w:r>
            <w:hyperlink r:id="rId14" w:history="1">
              <w:r>
                <w:rPr>
                  <w:rStyle w:val="Hyperlink"/>
                </w:rPr>
                <w:t>ANRStaffPersonnel@ucdavis.edu</w:t>
              </w:r>
            </w:hyperlink>
            <w:r>
              <w:rPr>
                <w:color w:val="000000"/>
              </w:rPr>
              <w:t>.</w:t>
            </w:r>
          </w:p>
          <w:p w:rsidR="00C85651" w:rsidRDefault="00C85651" w:rsidP="00E74E25">
            <w:pPr>
              <w:rPr>
                <w:rFonts w:asciiTheme="majorHAnsi" w:hAnsiTheme="majorHAnsi" w:cstheme="majorHAnsi"/>
                <w:sz w:val="16"/>
                <w:szCs w:val="16"/>
              </w:rPr>
            </w:pPr>
          </w:p>
          <w:p w:rsidR="0028308A" w:rsidRPr="003B56BE" w:rsidRDefault="0028308A" w:rsidP="0028308A">
            <w:pPr>
              <w:jc w:val="right"/>
              <w:rPr>
                <w:rFonts w:asciiTheme="majorHAnsi" w:hAnsiTheme="majorHAnsi"/>
              </w:rPr>
            </w:pPr>
            <w:r w:rsidRPr="003B56BE">
              <w:rPr>
                <w:rFonts w:asciiTheme="majorHAnsi" w:hAnsiTheme="majorHAnsi"/>
              </w:rPr>
              <w:t>Jamie Banta</w:t>
            </w:r>
          </w:p>
          <w:p w:rsidR="0028308A" w:rsidRDefault="0028308A" w:rsidP="0028308A">
            <w:pPr>
              <w:jc w:val="right"/>
            </w:pPr>
            <w:r w:rsidRPr="003B56BE">
              <w:rPr>
                <w:rFonts w:asciiTheme="majorHAnsi" w:hAnsiTheme="majorHAnsi"/>
              </w:rPr>
              <w:t>Personnel Analyst</w:t>
            </w:r>
          </w:p>
          <w:p w:rsidR="00C85651" w:rsidRDefault="00C85651" w:rsidP="00E13DE0">
            <w:pPr>
              <w:rPr>
                <w:rFonts w:asciiTheme="majorHAnsi" w:eastAsiaTheme="majorEastAsia" w:hAnsiTheme="majorHAnsi" w:cstheme="majorHAnsi"/>
                <w:sz w:val="22"/>
                <w:szCs w:val="22"/>
              </w:rPr>
            </w:pPr>
          </w:p>
          <w:p w:rsidR="00ED3505" w:rsidRDefault="00ED3505" w:rsidP="00E13DE0">
            <w:pPr>
              <w:rPr>
                <w:rFonts w:asciiTheme="majorHAnsi" w:eastAsiaTheme="majorEastAsia" w:hAnsiTheme="majorHAnsi" w:cstheme="majorHAnsi"/>
                <w:sz w:val="22"/>
                <w:szCs w:val="22"/>
              </w:rPr>
            </w:pPr>
          </w:p>
          <w:p w:rsidR="00ED3505" w:rsidRDefault="00ED3505" w:rsidP="00E13DE0">
            <w:pPr>
              <w:rPr>
                <w:rFonts w:asciiTheme="majorHAnsi" w:eastAsiaTheme="majorEastAsia" w:hAnsiTheme="majorHAnsi" w:cstheme="majorHAnsi"/>
                <w:sz w:val="22"/>
                <w:szCs w:val="22"/>
              </w:rPr>
            </w:pPr>
          </w:p>
          <w:p w:rsidR="00B115A1" w:rsidRPr="008C43C8" w:rsidRDefault="00B115A1" w:rsidP="00E13DE0">
            <w:pPr>
              <w:rPr>
                <w:rFonts w:asciiTheme="majorHAnsi" w:eastAsiaTheme="majorEastAsia" w:hAnsiTheme="majorHAnsi" w:cstheme="majorHAnsi"/>
                <w:sz w:val="22"/>
                <w:szCs w:val="22"/>
              </w:rPr>
            </w:pPr>
            <w:bookmarkStart w:id="0" w:name="_GoBack"/>
            <w:bookmarkEnd w:id="0"/>
          </w:p>
        </w:tc>
      </w:tr>
      <w:tr w:rsidR="00C021FF" w:rsidTr="0055760E">
        <w:tc>
          <w:tcPr>
            <w:tcW w:w="5220" w:type="dxa"/>
            <w:shd w:val="clear" w:color="auto" w:fill="DBE5F1"/>
          </w:tcPr>
          <w:p w:rsidR="00C021FF" w:rsidRPr="00FB3F3B" w:rsidRDefault="00C021FF" w:rsidP="00C021FF">
            <w:pPr>
              <w:rPr>
                <w:rFonts w:asciiTheme="majorHAnsi" w:eastAsiaTheme="majorEastAsia" w:hAnsiTheme="majorHAnsi" w:cstheme="majorHAnsi"/>
                <w:sz w:val="22"/>
                <w:szCs w:val="22"/>
              </w:rPr>
            </w:pPr>
          </w:p>
          <w:tbl>
            <w:tblPr>
              <w:tblStyle w:val="TableGrid"/>
              <w:tblW w:w="5017" w:type="dxa"/>
              <w:tblLayout w:type="fixed"/>
              <w:tblLook w:val="04A0" w:firstRow="1" w:lastRow="0" w:firstColumn="1" w:lastColumn="0" w:noHBand="0" w:noVBand="1"/>
            </w:tblPr>
            <w:tblGrid>
              <w:gridCol w:w="5017"/>
            </w:tblGrid>
            <w:tr w:rsidR="00C021FF" w:rsidRPr="00FB3F3B" w:rsidTr="0055760E">
              <w:tc>
                <w:tcPr>
                  <w:tcW w:w="5017" w:type="dxa"/>
                  <w:shd w:val="clear" w:color="auto" w:fill="003399"/>
                </w:tcPr>
                <w:p w:rsidR="00C021FF" w:rsidRPr="004E5148" w:rsidRDefault="00463540" w:rsidP="00C021FF">
                  <w:pPr>
                    <w:rPr>
                      <w:rFonts w:asciiTheme="majorHAnsi" w:eastAsiaTheme="majorEastAsia" w:hAnsiTheme="majorHAnsi" w:cstheme="majorHAnsi"/>
                      <w:b/>
                      <w:sz w:val="22"/>
                      <w:szCs w:val="22"/>
                      <w:u w:val="single"/>
                    </w:rPr>
                  </w:pPr>
                  <w:r w:rsidRPr="004E5148">
                    <w:rPr>
                      <w:b/>
                      <w:sz w:val="22"/>
                      <w:szCs w:val="22"/>
                      <w:u w:val="single"/>
                    </w:rPr>
                    <w:t>Waiver of Recruitment/Identified Candidate</w:t>
                  </w:r>
                </w:p>
              </w:tc>
            </w:tr>
          </w:tbl>
          <w:p w:rsidR="00185DBC" w:rsidRDefault="00185DBC" w:rsidP="00185DBC">
            <w:pPr>
              <w:jc w:val="both"/>
              <w:rPr>
                <w:rFonts w:asciiTheme="majorHAnsi" w:hAnsiTheme="majorHAnsi" w:cstheme="majorHAnsi"/>
                <w:sz w:val="16"/>
                <w:szCs w:val="16"/>
              </w:rPr>
            </w:pPr>
          </w:p>
          <w:p w:rsidR="00463540" w:rsidRDefault="00463540" w:rsidP="00463540">
            <w:r w:rsidRPr="00B05460">
              <w:rPr>
                <w:rFonts w:asciiTheme="majorHAnsi" w:eastAsiaTheme="majorEastAsia" w:hAnsiTheme="majorHAnsi" w:cstheme="majorHAnsi"/>
                <w:b/>
                <w:color w:val="F1B305"/>
              </w:rPr>
              <w:t>A</w:t>
            </w:r>
          </w:p>
          <w:p w:rsidR="00463540" w:rsidRDefault="00463540" w:rsidP="00185DBC">
            <w:pPr>
              <w:jc w:val="both"/>
              <w:rPr>
                <w:rFonts w:asciiTheme="majorHAnsi" w:hAnsiTheme="majorHAnsi" w:cstheme="majorHAnsi"/>
                <w:sz w:val="16"/>
                <w:szCs w:val="16"/>
              </w:rPr>
            </w:pPr>
          </w:p>
          <w:p w:rsidR="00ED3505" w:rsidRPr="00ED3505" w:rsidRDefault="00ED3505" w:rsidP="00ED3505">
            <w:pPr>
              <w:rPr>
                <w:sz w:val="22"/>
                <w:szCs w:val="22"/>
              </w:rPr>
            </w:pPr>
            <w:r>
              <w:t xml:space="preserve">The Staff Personnel Unit (SPU) has designed a new form making it easier to assist in determining whether a recruitment for an open position is necessary in regard to Identified Candidate requests: </w:t>
            </w:r>
            <w:hyperlink r:id="rId15" w:history="1">
              <w:r w:rsidRPr="00ED3505">
                <w:rPr>
                  <w:rStyle w:val="Hyperlink"/>
                  <w:sz w:val="22"/>
                  <w:szCs w:val="22"/>
                </w:rPr>
                <w:t>http://ucanr.org/sites/anrstaff/files/131424.xlsx</w:t>
              </w:r>
            </w:hyperlink>
            <w:r w:rsidRPr="00ED3505">
              <w:rPr>
                <w:sz w:val="22"/>
                <w:szCs w:val="22"/>
              </w:rPr>
              <w:t xml:space="preserve">  </w:t>
            </w:r>
          </w:p>
          <w:p w:rsidR="00ED3505" w:rsidRDefault="00ED3505" w:rsidP="00ED3505"/>
          <w:p w:rsidR="00ED3505" w:rsidRDefault="00ED3505" w:rsidP="00ED3505">
            <w:r>
              <w:t xml:space="preserve">In general, the rule is: if it is career or if the position will last for longer than a year </w:t>
            </w:r>
            <w:proofErr w:type="gramStart"/>
            <w:r>
              <w:t>a recruitment</w:t>
            </w:r>
            <w:proofErr w:type="gramEnd"/>
            <w:r>
              <w:t xml:space="preserve"> will be required, however, the above form will give you a more detailed explanation.  On the bottom portion of the form, we ask that you answer a few questions in order to assist us in the approval process.  </w:t>
            </w:r>
          </w:p>
          <w:p w:rsidR="00ED3505" w:rsidRDefault="00ED3505" w:rsidP="00ED3505"/>
          <w:p w:rsidR="00ED3505" w:rsidRDefault="00ED3505" w:rsidP="00ED3505">
            <w:r>
              <w:t xml:space="preserve">Please note, even when a waiver of recruitment/identified candidate is approved, the position will still need to be uploaded into the Classification Applicant Tracking System (CATS) and the applicant will still need to apply, in full, directly to the position.  </w:t>
            </w:r>
          </w:p>
          <w:p w:rsidR="00ED3505" w:rsidRDefault="00ED3505" w:rsidP="00ED3505"/>
          <w:p w:rsidR="00ED3505" w:rsidRDefault="00ED3505" w:rsidP="00ED3505">
            <w:r>
              <w:t>As is always the case, if you have any questions or need further information please contact the SPU.</w:t>
            </w:r>
          </w:p>
          <w:p w:rsidR="00463540" w:rsidRPr="00C952E9" w:rsidRDefault="00463540" w:rsidP="00463540">
            <w:pPr>
              <w:tabs>
                <w:tab w:val="left" w:pos="0"/>
              </w:tabs>
              <w:jc w:val="right"/>
              <w:rPr>
                <w:rFonts w:asciiTheme="majorHAnsi" w:hAnsiTheme="majorHAnsi" w:cs="Times New Roman"/>
                <w:color w:val="000000"/>
              </w:rPr>
            </w:pPr>
            <w:r w:rsidRPr="00C952E9">
              <w:rPr>
                <w:rFonts w:asciiTheme="majorHAnsi" w:hAnsiTheme="majorHAnsi" w:cs="Times New Roman"/>
                <w:color w:val="000000"/>
              </w:rPr>
              <w:t xml:space="preserve">Bethanie Brown </w:t>
            </w:r>
          </w:p>
          <w:p w:rsidR="00463540" w:rsidRPr="00ED3505" w:rsidRDefault="00ED3505" w:rsidP="00ED3505">
            <w:pPr>
              <w:jc w:val="right"/>
              <w:rPr>
                <w:rFonts w:asciiTheme="majorHAnsi" w:hAnsiTheme="majorHAnsi" w:cs="Times New Roman"/>
                <w:color w:val="000000"/>
              </w:rPr>
            </w:pPr>
            <w:r>
              <w:rPr>
                <w:rFonts w:asciiTheme="majorHAnsi" w:hAnsiTheme="majorHAnsi" w:cs="Times New Roman"/>
                <w:color w:val="000000"/>
              </w:rPr>
              <w:t>Personnel Analyst</w:t>
            </w:r>
          </w:p>
        </w:tc>
        <w:tc>
          <w:tcPr>
            <w:tcW w:w="6390" w:type="dxa"/>
            <w:gridSpan w:val="2"/>
            <w:shd w:val="clear" w:color="auto" w:fill="DBE5F1"/>
          </w:tcPr>
          <w:p w:rsidR="00C021FF" w:rsidRPr="00FB3F3B" w:rsidRDefault="00C021FF" w:rsidP="00C021FF">
            <w:pPr>
              <w:rPr>
                <w:rFonts w:asciiTheme="majorHAnsi" w:eastAsiaTheme="majorEastAsia" w:hAnsiTheme="majorHAnsi" w:cstheme="majorHAnsi"/>
                <w:sz w:val="22"/>
                <w:szCs w:val="22"/>
              </w:rPr>
            </w:pPr>
          </w:p>
          <w:tbl>
            <w:tblPr>
              <w:tblStyle w:val="TableGrid"/>
              <w:tblW w:w="6187" w:type="dxa"/>
              <w:tblLayout w:type="fixed"/>
              <w:tblLook w:val="04A0" w:firstRow="1" w:lastRow="0" w:firstColumn="1" w:lastColumn="0" w:noHBand="0" w:noVBand="1"/>
            </w:tblPr>
            <w:tblGrid>
              <w:gridCol w:w="6187"/>
            </w:tblGrid>
            <w:tr w:rsidR="00C021FF" w:rsidRPr="00FB3F3B" w:rsidTr="0055760E">
              <w:tc>
                <w:tcPr>
                  <w:tcW w:w="6187" w:type="dxa"/>
                  <w:shd w:val="clear" w:color="auto" w:fill="003399"/>
                </w:tcPr>
                <w:p w:rsidR="00C021FF" w:rsidRPr="0028308A" w:rsidRDefault="004E5148" w:rsidP="0028308A">
                  <w:pPr>
                    <w:rPr>
                      <w:rFonts w:asciiTheme="majorHAnsi" w:eastAsiaTheme="majorEastAsia" w:hAnsiTheme="majorHAnsi" w:cstheme="majorHAnsi"/>
                      <w:b/>
                      <w:sz w:val="22"/>
                      <w:szCs w:val="22"/>
                    </w:rPr>
                  </w:pPr>
                  <w:r>
                    <w:rPr>
                      <w:b/>
                      <w:bCs/>
                      <w:u w:val="single"/>
                    </w:rPr>
                    <w:t>Fingerprinting for Background Checks</w:t>
                  </w:r>
                </w:p>
              </w:tc>
            </w:tr>
          </w:tbl>
          <w:p w:rsidR="003119C2" w:rsidRDefault="003119C2" w:rsidP="00FB3F3B">
            <w:pPr>
              <w:rPr>
                <w:rFonts w:asciiTheme="majorHAnsi" w:eastAsiaTheme="majorEastAsia" w:hAnsiTheme="majorHAnsi" w:cstheme="majorHAnsi"/>
                <w:sz w:val="16"/>
                <w:szCs w:val="16"/>
              </w:rPr>
            </w:pPr>
          </w:p>
          <w:p w:rsidR="0028308A" w:rsidRDefault="0028308A" w:rsidP="0028308A">
            <w:r w:rsidRPr="00B05460">
              <w:rPr>
                <w:rFonts w:asciiTheme="majorHAnsi" w:eastAsiaTheme="majorEastAsia" w:hAnsiTheme="majorHAnsi" w:cstheme="majorHAnsi"/>
                <w:b/>
                <w:color w:val="F1B305"/>
              </w:rPr>
              <w:t>A</w:t>
            </w:r>
          </w:p>
          <w:p w:rsidR="0028308A" w:rsidRPr="00762616" w:rsidRDefault="0028308A" w:rsidP="00FB3F3B">
            <w:pPr>
              <w:rPr>
                <w:rFonts w:asciiTheme="majorHAnsi" w:eastAsiaTheme="majorEastAsia" w:hAnsiTheme="majorHAnsi" w:cstheme="majorHAnsi"/>
                <w:sz w:val="16"/>
                <w:szCs w:val="16"/>
              </w:rPr>
            </w:pPr>
          </w:p>
          <w:p w:rsidR="00762616" w:rsidRDefault="0028308A" w:rsidP="00FB3F3B">
            <w:r>
              <w:t>UC ANR has set up a central account to which all fingerprinting costs may be charged. The account number is as follows L-FNGPRNT. When you have an employee who needs a background check, please proceed using standard processes, and remember to use this account number.</w:t>
            </w:r>
          </w:p>
          <w:p w:rsidR="0028308A" w:rsidRDefault="0028308A" w:rsidP="00FB3F3B">
            <w:pPr>
              <w:rPr>
                <w:rFonts w:asciiTheme="majorHAnsi" w:eastAsiaTheme="majorEastAsia" w:hAnsiTheme="majorHAnsi" w:cstheme="majorHAnsi"/>
                <w:sz w:val="16"/>
                <w:szCs w:val="16"/>
              </w:rPr>
            </w:pPr>
          </w:p>
          <w:p w:rsidR="0028308A" w:rsidRPr="003B56BE" w:rsidRDefault="0028308A" w:rsidP="0028308A">
            <w:pPr>
              <w:jc w:val="right"/>
              <w:rPr>
                <w:rFonts w:asciiTheme="majorHAnsi" w:hAnsiTheme="majorHAnsi"/>
              </w:rPr>
            </w:pPr>
            <w:r w:rsidRPr="003B56BE">
              <w:rPr>
                <w:rFonts w:asciiTheme="majorHAnsi" w:hAnsiTheme="majorHAnsi"/>
              </w:rPr>
              <w:t>Jamie Banta</w:t>
            </w:r>
          </w:p>
          <w:p w:rsidR="0028308A" w:rsidRDefault="0028308A" w:rsidP="0028308A">
            <w:pPr>
              <w:jc w:val="right"/>
            </w:pPr>
            <w:r w:rsidRPr="003B56BE">
              <w:rPr>
                <w:rFonts w:asciiTheme="majorHAnsi" w:hAnsiTheme="majorHAnsi"/>
              </w:rPr>
              <w:t>Personnel Analyst</w:t>
            </w:r>
          </w:p>
          <w:p w:rsidR="00FB3F3B" w:rsidRPr="00FB3F3B" w:rsidRDefault="00FB3F3B" w:rsidP="00FB3F3B">
            <w:pPr>
              <w:rPr>
                <w:rFonts w:asciiTheme="majorHAnsi" w:eastAsiaTheme="majorEastAsia" w:hAnsiTheme="majorHAnsi" w:cstheme="majorHAnsi"/>
                <w:sz w:val="22"/>
                <w:szCs w:val="22"/>
              </w:rPr>
            </w:pPr>
          </w:p>
          <w:tbl>
            <w:tblPr>
              <w:tblStyle w:val="TableGrid"/>
              <w:tblW w:w="6187" w:type="dxa"/>
              <w:tblLayout w:type="fixed"/>
              <w:tblLook w:val="04A0" w:firstRow="1" w:lastRow="0" w:firstColumn="1" w:lastColumn="0" w:noHBand="0" w:noVBand="1"/>
            </w:tblPr>
            <w:tblGrid>
              <w:gridCol w:w="6187"/>
            </w:tblGrid>
            <w:tr w:rsidR="00C021FF" w:rsidRPr="00FB3F3B" w:rsidTr="0055760E">
              <w:tc>
                <w:tcPr>
                  <w:tcW w:w="6187" w:type="dxa"/>
                  <w:shd w:val="clear" w:color="auto" w:fill="003399"/>
                </w:tcPr>
                <w:p w:rsidR="00C021FF" w:rsidRPr="00E13DE0" w:rsidRDefault="00831192" w:rsidP="00C021FF">
                  <w:pPr>
                    <w:rPr>
                      <w:rFonts w:asciiTheme="majorHAnsi" w:eastAsiaTheme="majorEastAsia" w:hAnsiTheme="majorHAnsi" w:cstheme="majorHAnsi"/>
                      <w:b/>
                      <w:color w:val="FFFFFF" w:themeColor="background1"/>
                      <w:sz w:val="22"/>
                      <w:szCs w:val="22"/>
                      <w:u w:val="single"/>
                    </w:rPr>
                  </w:pPr>
                  <w:r w:rsidRPr="00831192">
                    <w:rPr>
                      <w:b/>
                      <w:sz w:val="22"/>
                      <w:szCs w:val="22"/>
                      <w:u w:val="single"/>
                    </w:rPr>
                    <w:t>Limited Term Appointments – Probationary Period</w:t>
                  </w:r>
                </w:p>
              </w:tc>
            </w:tr>
          </w:tbl>
          <w:p w:rsidR="00C021FF" w:rsidRPr="00185DBC" w:rsidRDefault="00C021FF" w:rsidP="00FB3F3B">
            <w:pPr>
              <w:rPr>
                <w:rFonts w:asciiTheme="majorHAnsi" w:hAnsiTheme="majorHAnsi" w:cstheme="majorHAnsi"/>
                <w:sz w:val="16"/>
                <w:szCs w:val="16"/>
              </w:rPr>
            </w:pPr>
          </w:p>
          <w:p w:rsidR="00E13DE0" w:rsidRDefault="00E13DE0" w:rsidP="00E13DE0">
            <w:r w:rsidRPr="00B05460">
              <w:rPr>
                <w:rFonts w:asciiTheme="majorHAnsi" w:eastAsiaTheme="majorEastAsia" w:hAnsiTheme="majorHAnsi" w:cstheme="majorHAnsi"/>
                <w:b/>
                <w:color w:val="F1B305"/>
              </w:rPr>
              <w:t>A</w:t>
            </w:r>
          </w:p>
          <w:p w:rsidR="00E13DE0" w:rsidRPr="00ED3505" w:rsidRDefault="00E13DE0" w:rsidP="00E13DE0">
            <w:pPr>
              <w:rPr>
                <w:color w:val="000000"/>
                <w:sz w:val="18"/>
                <w:szCs w:val="18"/>
              </w:rPr>
            </w:pPr>
          </w:p>
          <w:p w:rsidR="004E5148" w:rsidRDefault="004E5148" w:rsidP="004E5148">
            <w:r>
              <w:t xml:space="preserve">Limited Term Employees do not have a probationary period.  It is only when they become career that they have to complete a 6 month probationary period.  </w:t>
            </w:r>
          </w:p>
          <w:p w:rsidR="004E5148" w:rsidRDefault="004E5148" w:rsidP="004E5148"/>
          <w:p w:rsidR="004E5148" w:rsidRDefault="004E5148" w:rsidP="004E5148">
            <w:r>
              <w:t xml:space="preserve">For time served in a LTA, see specific policies/contract articles to see if credit applies: </w:t>
            </w:r>
            <w:hyperlink r:id="rId16" w:history="1">
              <w:r>
                <w:rPr>
                  <w:rStyle w:val="Hyperlink"/>
                </w:rPr>
                <w:t>http://ucanr.org/sites/anrstaff/files/121719.doc</w:t>
              </w:r>
            </w:hyperlink>
          </w:p>
          <w:p w:rsidR="00831192" w:rsidRDefault="00831192" w:rsidP="00831192">
            <w:pPr>
              <w:rPr>
                <w:color w:val="000000"/>
              </w:rPr>
            </w:pPr>
          </w:p>
          <w:p w:rsidR="00831192" w:rsidRPr="003B56BE" w:rsidRDefault="00831192" w:rsidP="00831192">
            <w:pPr>
              <w:jc w:val="right"/>
              <w:rPr>
                <w:rFonts w:asciiTheme="majorHAnsi" w:hAnsiTheme="majorHAnsi"/>
              </w:rPr>
            </w:pPr>
            <w:r>
              <w:rPr>
                <w:rFonts w:asciiTheme="majorHAnsi" w:hAnsiTheme="majorHAnsi"/>
              </w:rPr>
              <w:t>Tina</w:t>
            </w:r>
            <w:r w:rsidRPr="003B56BE">
              <w:rPr>
                <w:rFonts w:asciiTheme="majorHAnsi" w:hAnsiTheme="majorHAnsi"/>
              </w:rPr>
              <w:t xml:space="preserve"> </w:t>
            </w:r>
            <w:r>
              <w:rPr>
                <w:rFonts w:asciiTheme="majorHAnsi" w:hAnsiTheme="majorHAnsi"/>
              </w:rPr>
              <w:t>Perez</w:t>
            </w:r>
          </w:p>
          <w:p w:rsidR="00831192" w:rsidRDefault="00831192" w:rsidP="00831192">
            <w:pPr>
              <w:jc w:val="right"/>
            </w:pPr>
            <w:r w:rsidRPr="003B56BE">
              <w:rPr>
                <w:rFonts w:asciiTheme="majorHAnsi" w:hAnsiTheme="majorHAnsi"/>
              </w:rPr>
              <w:t>Personnel Analyst</w:t>
            </w:r>
          </w:p>
          <w:p w:rsidR="00762616" w:rsidRPr="00FB3F3B" w:rsidRDefault="00762616" w:rsidP="00831192">
            <w:pPr>
              <w:jc w:val="right"/>
              <w:rPr>
                <w:rFonts w:asciiTheme="majorHAnsi" w:hAnsiTheme="majorHAnsi" w:cstheme="majorHAnsi"/>
                <w:sz w:val="22"/>
                <w:szCs w:val="22"/>
              </w:rPr>
            </w:pPr>
          </w:p>
        </w:tc>
      </w:tr>
      <w:tr w:rsidR="00AA0683" w:rsidTr="00AA0683">
        <w:tc>
          <w:tcPr>
            <w:tcW w:w="11610" w:type="dxa"/>
            <w:gridSpan w:val="3"/>
            <w:shd w:val="clear" w:color="auto" w:fill="DBE5F1"/>
          </w:tcPr>
          <w:tbl>
            <w:tblPr>
              <w:tblStyle w:val="TableGrid"/>
              <w:tblW w:w="11410" w:type="dxa"/>
              <w:tblLayout w:type="fixed"/>
              <w:tblLook w:val="04A0" w:firstRow="1" w:lastRow="0" w:firstColumn="1" w:lastColumn="0" w:noHBand="0" w:noVBand="1"/>
            </w:tblPr>
            <w:tblGrid>
              <w:gridCol w:w="11410"/>
            </w:tblGrid>
            <w:tr w:rsidR="00AA0683" w:rsidRPr="00FB3F3B" w:rsidTr="00C952E9">
              <w:trPr>
                <w:trHeight w:val="270"/>
              </w:trPr>
              <w:tc>
                <w:tcPr>
                  <w:tcW w:w="11410" w:type="dxa"/>
                  <w:shd w:val="clear" w:color="auto" w:fill="003399"/>
                </w:tcPr>
                <w:p w:rsidR="00AA0683" w:rsidRPr="00E13DE0" w:rsidRDefault="00AA0683" w:rsidP="00AA0683">
                  <w:pPr>
                    <w:rPr>
                      <w:rFonts w:asciiTheme="majorHAnsi" w:eastAsiaTheme="majorEastAsia" w:hAnsiTheme="majorHAnsi" w:cstheme="majorHAnsi"/>
                      <w:b/>
                      <w:color w:val="FFFFFF" w:themeColor="background1"/>
                      <w:sz w:val="22"/>
                      <w:szCs w:val="22"/>
                      <w:u w:val="single"/>
                    </w:rPr>
                  </w:pPr>
                  <w:r>
                    <w:rPr>
                      <w:rFonts w:asciiTheme="majorHAnsi" w:eastAsiaTheme="majorEastAsia" w:hAnsiTheme="majorHAnsi" w:cstheme="majorHAnsi"/>
                      <w:sz w:val="22"/>
                      <w:szCs w:val="22"/>
                    </w:rPr>
                    <w:t xml:space="preserve">  </w:t>
                  </w:r>
                  <w:r w:rsidR="004E5148">
                    <w:rPr>
                      <w:b/>
                      <w:bCs/>
                      <w:color w:val="FFFFFF"/>
                      <w:u w:val="single"/>
                    </w:rPr>
                    <w:t>Standard Workweek</w:t>
                  </w:r>
                </w:p>
              </w:tc>
            </w:tr>
          </w:tbl>
          <w:p w:rsidR="00AA0683" w:rsidRPr="00ED3505" w:rsidRDefault="00AA0683" w:rsidP="00C021FF">
            <w:pPr>
              <w:rPr>
                <w:rFonts w:asciiTheme="majorHAnsi" w:eastAsiaTheme="majorEastAsia" w:hAnsiTheme="majorHAnsi" w:cstheme="majorHAnsi"/>
                <w:sz w:val="16"/>
                <w:szCs w:val="16"/>
              </w:rPr>
            </w:pPr>
          </w:p>
          <w:p w:rsidR="00C952E9" w:rsidRDefault="00C952E9" w:rsidP="00C952E9">
            <w:r w:rsidRPr="00B05460">
              <w:rPr>
                <w:rFonts w:asciiTheme="majorHAnsi" w:eastAsiaTheme="majorEastAsia" w:hAnsiTheme="majorHAnsi" w:cstheme="majorHAnsi"/>
                <w:b/>
                <w:color w:val="F1B305"/>
              </w:rPr>
              <w:t>A</w:t>
            </w:r>
          </w:p>
          <w:p w:rsidR="00C952E9" w:rsidRPr="00ED3505" w:rsidRDefault="00C952E9" w:rsidP="00C021FF">
            <w:pPr>
              <w:rPr>
                <w:sz w:val="16"/>
                <w:szCs w:val="16"/>
              </w:rPr>
            </w:pPr>
          </w:p>
          <w:p w:rsidR="004E5148" w:rsidRDefault="004E5148" w:rsidP="004E5148">
            <w:pPr>
              <w:rPr>
                <w:color w:val="000000"/>
              </w:rPr>
            </w:pPr>
            <w:r>
              <w:t xml:space="preserve">From time to time, we get questions about the official UC workweek and how it affects calculations relating to comp time and overtime. </w:t>
            </w:r>
            <w:r>
              <w:rPr>
                <w:color w:val="000000"/>
              </w:rPr>
              <w:t>The campus standard work week for non-represented employees is Sunday 12:10 am through the following Saturday.  For represented employees, the campus departments would follow the labor agreement language unless a department identified a different work week.   When the campus payroll office receives the time reporting for represented employees, the Payroll system automatically adjusts the workweek as Monday 12:01 am through the following Sunday, regardless of the work week established at a department</w:t>
            </w:r>
          </w:p>
          <w:p w:rsidR="004E5148" w:rsidRDefault="004E5148" w:rsidP="004E5148">
            <w:pPr>
              <w:rPr>
                <w:color w:val="000000"/>
              </w:rPr>
            </w:pPr>
          </w:p>
          <w:p w:rsidR="004E5148" w:rsidRDefault="004E5148" w:rsidP="004E5148">
            <w:pPr>
              <w:rPr>
                <w:color w:val="000000"/>
              </w:rPr>
            </w:pPr>
            <w:r>
              <w:rPr>
                <w:color w:val="000000"/>
              </w:rPr>
              <w:t xml:space="preserve">For example, if an employee named John Smith with an 8-5 Monday – Friday schedule uses 4 hours of sick leave on Tuesday and works 6 additional on Saturday, John is paid straight time up to 40 hours actually worked.  He will be paid straight time for his 4 hours of sick leave. Time actually worked greater than 40 hours is then used at a later date (comp time), or paid as overtime at the time and a half rate aka, premium overtime rate.  This would mean that John would get 2 hours of premium overtime.   </w:t>
            </w:r>
          </w:p>
          <w:p w:rsidR="004E5148" w:rsidRDefault="004E5148" w:rsidP="004E5148">
            <w:pPr>
              <w:rPr>
                <w:color w:val="000000"/>
              </w:rPr>
            </w:pPr>
          </w:p>
          <w:p w:rsidR="004E5148" w:rsidRDefault="004E5148" w:rsidP="004E5148">
            <w:pPr>
              <w:rPr>
                <w:color w:val="000000"/>
              </w:rPr>
            </w:pPr>
            <w:r>
              <w:rPr>
                <w:color w:val="000000"/>
              </w:rPr>
              <w:t xml:space="preserve">Any questions about work week and payment for hours worked should be directed to the Staff Personnel Unit at </w:t>
            </w:r>
            <w:hyperlink r:id="rId17" w:history="1">
              <w:r>
                <w:rPr>
                  <w:rStyle w:val="Hyperlink"/>
                </w:rPr>
                <w:t>ANRStaffPersonnel@ucdavis.edu</w:t>
              </w:r>
            </w:hyperlink>
            <w:r>
              <w:rPr>
                <w:color w:val="000000"/>
              </w:rPr>
              <w:t>.</w:t>
            </w:r>
          </w:p>
          <w:p w:rsidR="004E5148" w:rsidRDefault="004E5148" w:rsidP="004E5148">
            <w:pPr>
              <w:jc w:val="right"/>
              <w:rPr>
                <w:color w:val="000000"/>
              </w:rPr>
            </w:pPr>
          </w:p>
          <w:p w:rsidR="004E5148" w:rsidRDefault="004E5148" w:rsidP="004E5148">
            <w:pPr>
              <w:jc w:val="right"/>
              <w:rPr>
                <w:rFonts w:ascii="Cambria" w:hAnsi="Cambria"/>
              </w:rPr>
            </w:pPr>
            <w:r>
              <w:rPr>
                <w:rFonts w:ascii="Cambria" w:hAnsi="Cambria"/>
              </w:rPr>
              <w:t>Karen Ellsworth</w:t>
            </w:r>
          </w:p>
          <w:p w:rsidR="00AA0683" w:rsidRPr="00ED3505" w:rsidRDefault="004E5148" w:rsidP="00ED3505">
            <w:pPr>
              <w:jc w:val="right"/>
              <w:rPr>
                <w:rFonts w:ascii="Calibri" w:hAnsi="Calibri"/>
              </w:rPr>
            </w:pPr>
            <w:r>
              <w:rPr>
                <w:rFonts w:ascii="Cambria" w:hAnsi="Cambria"/>
              </w:rPr>
              <w:t>Personnel Analyst</w:t>
            </w:r>
          </w:p>
        </w:tc>
      </w:tr>
    </w:tbl>
    <w:p w:rsidR="007E14E1" w:rsidRPr="003119C2" w:rsidRDefault="007E14E1" w:rsidP="00C021FF">
      <w:pPr>
        <w:spacing w:after="240"/>
        <w:rPr>
          <w:rFonts w:eastAsiaTheme="majorEastAsia"/>
          <w:sz w:val="4"/>
          <w:szCs w:val="4"/>
        </w:rPr>
      </w:pPr>
    </w:p>
    <w:sectPr w:rsidR="007E14E1" w:rsidRPr="003119C2" w:rsidSect="00D16B2B">
      <w:headerReference w:type="first" r:id="rId18"/>
      <w:pgSz w:w="12240" w:h="15840"/>
      <w:pgMar w:top="720" w:right="1440" w:bottom="144"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05" w:rsidRDefault="00ED3505">
      <w:pPr>
        <w:spacing w:after="0"/>
      </w:pPr>
      <w:r>
        <w:separator/>
      </w:r>
    </w:p>
  </w:endnote>
  <w:endnote w:type="continuationSeparator" w:id="0">
    <w:p w:rsidR="00ED3505" w:rsidRDefault="00ED35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05" w:rsidRDefault="00ED3505">
      <w:pPr>
        <w:spacing w:after="0"/>
      </w:pPr>
      <w:r>
        <w:separator/>
      </w:r>
    </w:p>
  </w:footnote>
  <w:footnote w:type="continuationSeparator" w:id="0">
    <w:p w:rsidR="00ED3505" w:rsidRDefault="00ED35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05" w:rsidRDefault="00ED3505" w:rsidP="00806FF2">
    <w:pPr>
      <w:pStyle w:val="Header"/>
      <w:spacing w:before="240"/>
      <w:ind w:right="-187"/>
      <w:jc w:val="right"/>
      <w:rPr>
        <w:rFonts w:ascii="Verdana" w:hAnsi="Verdana"/>
        <w:b/>
        <w:noProof/>
        <w:color w:val="F79646" w:themeColor="accent6"/>
        <w:sz w:val="52"/>
      </w:rPr>
    </w:pPr>
    <w:r>
      <w:rPr>
        <w:rFonts w:ascii="Verdana" w:hAnsi="Verdana"/>
        <w:b/>
        <w:noProof/>
        <w:color w:val="F79646" w:themeColor="accent6"/>
        <w:sz w:val="52"/>
      </w:rPr>
      <w:drawing>
        <wp:anchor distT="0" distB="0" distL="114300" distR="114300" simplePos="0" relativeHeight="251658240" behindDoc="1" locked="0" layoutInCell="1" allowOverlap="1">
          <wp:simplePos x="0" y="0"/>
          <wp:positionH relativeFrom="column">
            <wp:posOffset>-698500</wp:posOffset>
          </wp:positionH>
          <wp:positionV relativeFrom="paragraph">
            <wp:posOffset>-523875</wp:posOffset>
          </wp:positionV>
          <wp:extent cx="7772400" cy="10058400"/>
          <wp:effectExtent l="0" t="0" r="0" b="0"/>
          <wp:wrapNone/>
          <wp:docPr id="2" name="Picture 2" descr="ANR_newslttrMAST_HF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newslttrMAST_HFS.tif"/>
                  <pic:cNvPicPr/>
                </pic:nvPicPr>
                <pic:blipFill>
                  <a:blip r:embed="rId1"/>
                  <a:stretch>
                    <a:fillRect/>
                  </a:stretch>
                </pic:blipFill>
                <pic:spPr>
                  <a:xfrm>
                    <a:off x="0" y="0"/>
                    <a:ext cx="7772400" cy="10058400"/>
                  </a:xfrm>
                  <a:prstGeom prst="rect">
                    <a:avLst/>
                  </a:prstGeom>
                </pic:spPr>
              </pic:pic>
            </a:graphicData>
          </a:graphic>
        </wp:anchor>
      </w:drawing>
    </w:r>
    <w:r>
      <w:rPr>
        <w:rFonts w:ascii="Verdana" w:hAnsi="Verdana"/>
        <w:b/>
        <w:noProof/>
        <w:color w:val="F79646" w:themeColor="accent6"/>
        <w:sz w:val="52"/>
      </w:rPr>
      <w:t>Staff Personnel</w:t>
    </w:r>
  </w:p>
  <w:p w:rsidR="00ED3505" w:rsidRPr="007928D1" w:rsidRDefault="00ED3505" w:rsidP="00806FF2">
    <w:pPr>
      <w:pStyle w:val="Header"/>
      <w:ind w:right="-187"/>
      <w:jc w:val="right"/>
      <w:rPr>
        <w:rFonts w:ascii="Verdana" w:hAnsi="Verdana"/>
        <w:b/>
        <w:noProof/>
        <w:color w:val="F79646" w:themeColor="accent6"/>
        <w:sz w:val="52"/>
      </w:rPr>
    </w:pPr>
    <w:r>
      <w:rPr>
        <w:rFonts w:ascii="Verdana" w:hAnsi="Verdana"/>
        <w:b/>
        <w:noProof/>
        <w:color w:val="F79646" w:themeColor="accent6"/>
        <w:sz w:val="52"/>
      </w:rPr>
      <w:t>FAQ’s &amp; TIPS</w:t>
    </w:r>
  </w:p>
  <w:p w:rsidR="00ED3505" w:rsidRPr="00B047A1" w:rsidRDefault="00ED3505" w:rsidP="00806FF2">
    <w:pPr>
      <w:pStyle w:val="Header"/>
      <w:spacing w:before="360"/>
      <w:ind w:right="-187"/>
      <w:jc w:val="right"/>
      <w:rPr>
        <w:rFonts w:ascii="Verdana" w:hAnsi="Verdana"/>
        <w:b/>
        <w:color w:val="17365D" w:themeColor="text2" w:themeShade="BF"/>
        <w:sz w:val="16"/>
      </w:rPr>
    </w:pPr>
    <w:r w:rsidRPr="00B047A1">
      <w:rPr>
        <w:rFonts w:ascii="Verdana" w:hAnsi="Verdana"/>
        <w:b/>
        <w:color w:val="17365D" w:themeColor="text2" w:themeShade="BF"/>
        <w:sz w:val="16"/>
      </w:rPr>
      <w:t>vol.</w:t>
    </w:r>
    <w:r>
      <w:rPr>
        <w:rFonts w:ascii="Verdana" w:hAnsi="Verdana"/>
        <w:b/>
        <w:color w:val="17365D" w:themeColor="text2" w:themeShade="BF"/>
        <w:sz w:val="16"/>
      </w:rPr>
      <w:t xml:space="preserve"> 4</w:t>
    </w:r>
    <w:r w:rsidRPr="00B047A1">
      <w:rPr>
        <w:rFonts w:ascii="Verdana" w:hAnsi="Verdana"/>
        <w:b/>
        <w:color w:val="17365D" w:themeColor="text2" w:themeShade="BF"/>
        <w:sz w:val="16"/>
      </w:rPr>
      <w:t xml:space="preserve">, </w:t>
    </w:r>
    <w:r>
      <w:rPr>
        <w:rFonts w:ascii="Verdana" w:hAnsi="Verdana"/>
        <w:b/>
        <w:color w:val="17365D" w:themeColor="text2" w:themeShade="BF"/>
        <w:sz w:val="16"/>
      </w:rPr>
      <w:t>December 15</w:t>
    </w:r>
    <w:r w:rsidRPr="00B047A1">
      <w:rPr>
        <w:rFonts w:ascii="Verdana" w:hAnsi="Verdana"/>
        <w:b/>
        <w:color w:val="17365D" w:themeColor="text2" w:themeShade="BF"/>
        <w:sz w:val="16"/>
      </w:rPr>
      <w:t xml:space="preserve">, </w:t>
    </w:r>
    <w:r>
      <w:rPr>
        <w:rFonts w:ascii="Verdana" w:hAnsi="Verdana"/>
        <w:b/>
        <w:color w:val="17365D" w:themeColor="text2" w:themeShade="BF"/>
        <w:sz w:val="16"/>
      </w:rPr>
      <w:t>2011</w:t>
    </w:r>
  </w:p>
  <w:p w:rsidR="00ED3505" w:rsidRDefault="00ED3505" w:rsidP="007E14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1F4E"/>
    <w:multiLevelType w:val="hybridMultilevel"/>
    <w:tmpl w:val="3852F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D712A75"/>
    <w:multiLevelType w:val="hybridMultilevel"/>
    <w:tmpl w:val="27D0A5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49"/>
    <w:rsid w:val="000C4F46"/>
    <w:rsid w:val="000E5DE3"/>
    <w:rsid w:val="00185DBC"/>
    <w:rsid w:val="002453B6"/>
    <w:rsid w:val="0028308A"/>
    <w:rsid w:val="003119C2"/>
    <w:rsid w:val="00352044"/>
    <w:rsid w:val="00463540"/>
    <w:rsid w:val="00481EE1"/>
    <w:rsid w:val="004C2F4A"/>
    <w:rsid w:val="004C5C60"/>
    <w:rsid w:val="004E5148"/>
    <w:rsid w:val="005047B6"/>
    <w:rsid w:val="00511986"/>
    <w:rsid w:val="0055760E"/>
    <w:rsid w:val="006E0D82"/>
    <w:rsid w:val="00707CC4"/>
    <w:rsid w:val="007248CE"/>
    <w:rsid w:val="00762616"/>
    <w:rsid w:val="007E14E1"/>
    <w:rsid w:val="00806FF2"/>
    <w:rsid w:val="0083078B"/>
    <w:rsid w:val="00831192"/>
    <w:rsid w:val="00834C9F"/>
    <w:rsid w:val="0089681D"/>
    <w:rsid w:val="008B47D7"/>
    <w:rsid w:val="008C43C8"/>
    <w:rsid w:val="008F275F"/>
    <w:rsid w:val="009C1879"/>
    <w:rsid w:val="00A375A9"/>
    <w:rsid w:val="00AA0683"/>
    <w:rsid w:val="00AC650B"/>
    <w:rsid w:val="00B05460"/>
    <w:rsid w:val="00B115A1"/>
    <w:rsid w:val="00B64419"/>
    <w:rsid w:val="00B857E4"/>
    <w:rsid w:val="00BD5C17"/>
    <w:rsid w:val="00C021FF"/>
    <w:rsid w:val="00C85651"/>
    <w:rsid w:val="00C85918"/>
    <w:rsid w:val="00C952E9"/>
    <w:rsid w:val="00CA6349"/>
    <w:rsid w:val="00D16B2B"/>
    <w:rsid w:val="00D37518"/>
    <w:rsid w:val="00D83CF2"/>
    <w:rsid w:val="00DB70ED"/>
    <w:rsid w:val="00DB75A8"/>
    <w:rsid w:val="00E13DE0"/>
    <w:rsid w:val="00E74E25"/>
    <w:rsid w:val="00E81564"/>
    <w:rsid w:val="00ED3505"/>
    <w:rsid w:val="00FB3F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3F9"/>
    <w:pPr>
      <w:tabs>
        <w:tab w:val="center" w:pos="4320"/>
        <w:tab w:val="right" w:pos="8640"/>
      </w:tabs>
      <w:spacing w:after="0"/>
    </w:pPr>
  </w:style>
  <w:style w:type="character" w:customStyle="1" w:styleId="HeaderChar">
    <w:name w:val="Header Char"/>
    <w:basedOn w:val="DefaultParagraphFont"/>
    <w:link w:val="Header"/>
    <w:uiPriority w:val="99"/>
    <w:rsid w:val="005023F9"/>
  </w:style>
  <w:style w:type="paragraph" w:styleId="Footer">
    <w:name w:val="footer"/>
    <w:basedOn w:val="Normal"/>
    <w:link w:val="FooterChar"/>
    <w:uiPriority w:val="99"/>
    <w:unhideWhenUsed/>
    <w:rsid w:val="005023F9"/>
    <w:pPr>
      <w:tabs>
        <w:tab w:val="center" w:pos="4320"/>
        <w:tab w:val="right" w:pos="8640"/>
      </w:tabs>
      <w:spacing w:after="0"/>
    </w:pPr>
  </w:style>
  <w:style w:type="character" w:customStyle="1" w:styleId="FooterChar">
    <w:name w:val="Footer Char"/>
    <w:basedOn w:val="DefaultParagraphFont"/>
    <w:link w:val="Footer"/>
    <w:uiPriority w:val="99"/>
    <w:rsid w:val="005023F9"/>
  </w:style>
  <w:style w:type="character" w:styleId="PlaceholderText">
    <w:name w:val="Placeholder Text"/>
    <w:basedOn w:val="DefaultParagraphFont"/>
    <w:uiPriority w:val="99"/>
    <w:semiHidden/>
    <w:rsid w:val="005023F9"/>
    <w:rPr>
      <w:color w:val="808080"/>
    </w:rPr>
  </w:style>
  <w:style w:type="table" w:styleId="TableGrid">
    <w:name w:val="Table Grid"/>
    <w:basedOn w:val="TableNormal"/>
    <w:uiPriority w:val="59"/>
    <w:rsid w:val="007E14E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E14E1"/>
    <w:rPr>
      <w:color w:val="0000FF"/>
      <w:u w:val="single"/>
    </w:rPr>
  </w:style>
  <w:style w:type="paragraph" w:styleId="PlainText">
    <w:name w:val="Plain Text"/>
    <w:basedOn w:val="Normal"/>
    <w:link w:val="PlainTextChar"/>
    <w:uiPriority w:val="99"/>
    <w:unhideWhenUsed/>
    <w:rsid w:val="00C021FF"/>
    <w:pPr>
      <w:spacing w:after="0"/>
    </w:pPr>
    <w:rPr>
      <w:rFonts w:ascii="Times New Roman" w:eastAsia="Calibri" w:hAnsi="Times New Roman" w:cs="Times New Roman"/>
    </w:rPr>
  </w:style>
  <w:style w:type="character" w:customStyle="1" w:styleId="PlainTextChar">
    <w:name w:val="Plain Text Char"/>
    <w:basedOn w:val="DefaultParagraphFont"/>
    <w:link w:val="PlainText"/>
    <w:uiPriority w:val="99"/>
    <w:rsid w:val="00C021FF"/>
    <w:rPr>
      <w:rFonts w:ascii="Times New Roman" w:eastAsia="Calibri" w:hAnsi="Times New Roman" w:cs="Times New Roman"/>
    </w:rPr>
  </w:style>
  <w:style w:type="paragraph" w:styleId="ListParagraph">
    <w:name w:val="List Paragraph"/>
    <w:basedOn w:val="Normal"/>
    <w:uiPriority w:val="34"/>
    <w:qFormat/>
    <w:rsid w:val="00C021FF"/>
    <w:pPr>
      <w:spacing w:after="0"/>
      <w:ind w:left="720"/>
    </w:pPr>
    <w:rPr>
      <w:rFonts w:ascii="Calibri" w:eastAsia="Calibri" w:hAnsi="Calibri" w:cs="Times New Roman"/>
      <w:sz w:val="22"/>
      <w:szCs w:val="22"/>
    </w:rPr>
  </w:style>
  <w:style w:type="character" w:customStyle="1" w:styleId="apple-converted-space">
    <w:name w:val="apple-converted-space"/>
    <w:rsid w:val="00C021FF"/>
  </w:style>
  <w:style w:type="character" w:styleId="Strong">
    <w:name w:val="Strong"/>
    <w:uiPriority w:val="22"/>
    <w:qFormat/>
    <w:rsid w:val="00C021FF"/>
    <w:rPr>
      <w:b/>
      <w:bCs/>
    </w:rPr>
  </w:style>
  <w:style w:type="paragraph" w:styleId="BalloonText">
    <w:name w:val="Balloon Text"/>
    <w:basedOn w:val="Normal"/>
    <w:link w:val="BalloonTextChar"/>
    <w:uiPriority w:val="99"/>
    <w:semiHidden/>
    <w:unhideWhenUsed/>
    <w:rsid w:val="004C5C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258">
      <w:bodyDiv w:val="1"/>
      <w:marLeft w:val="0"/>
      <w:marRight w:val="0"/>
      <w:marTop w:val="0"/>
      <w:marBottom w:val="0"/>
      <w:divBdr>
        <w:top w:val="none" w:sz="0" w:space="0" w:color="auto"/>
        <w:left w:val="none" w:sz="0" w:space="0" w:color="auto"/>
        <w:bottom w:val="none" w:sz="0" w:space="0" w:color="auto"/>
        <w:right w:val="none" w:sz="0" w:space="0" w:color="auto"/>
      </w:divBdr>
    </w:div>
    <w:div w:id="230849316">
      <w:bodyDiv w:val="1"/>
      <w:marLeft w:val="0"/>
      <w:marRight w:val="0"/>
      <w:marTop w:val="0"/>
      <w:marBottom w:val="0"/>
      <w:divBdr>
        <w:top w:val="none" w:sz="0" w:space="0" w:color="auto"/>
        <w:left w:val="none" w:sz="0" w:space="0" w:color="auto"/>
        <w:bottom w:val="none" w:sz="0" w:space="0" w:color="auto"/>
        <w:right w:val="none" w:sz="0" w:space="0" w:color="auto"/>
      </w:divBdr>
    </w:div>
    <w:div w:id="436678248">
      <w:bodyDiv w:val="1"/>
      <w:marLeft w:val="0"/>
      <w:marRight w:val="0"/>
      <w:marTop w:val="0"/>
      <w:marBottom w:val="0"/>
      <w:divBdr>
        <w:top w:val="none" w:sz="0" w:space="0" w:color="auto"/>
        <w:left w:val="none" w:sz="0" w:space="0" w:color="auto"/>
        <w:bottom w:val="none" w:sz="0" w:space="0" w:color="auto"/>
        <w:right w:val="none" w:sz="0" w:space="0" w:color="auto"/>
      </w:divBdr>
    </w:div>
    <w:div w:id="444732095">
      <w:bodyDiv w:val="1"/>
      <w:marLeft w:val="0"/>
      <w:marRight w:val="0"/>
      <w:marTop w:val="0"/>
      <w:marBottom w:val="0"/>
      <w:divBdr>
        <w:top w:val="none" w:sz="0" w:space="0" w:color="auto"/>
        <w:left w:val="none" w:sz="0" w:space="0" w:color="auto"/>
        <w:bottom w:val="none" w:sz="0" w:space="0" w:color="auto"/>
        <w:right w:val="none" w:sz="0" w:space="0" w:color="auto"/>
      </w:divBdr>
    </w:div>
    <w:div w:id="452677378">
      <w:bodyDiv w:val="1"/>
      <w:marLeft w:val="0"/>
      <w:marRight w:val="0"/>
      <w:marTop w:val="0"/>
      <w:marBottom w:val="0"/>
      <w:divBdr>
        <w:top w:val="none" w:sz="0" w:space="0" w:color="auto"/>
        <w:left w:val="none" w:sz="0" w:space="0" w:color="auto"/>
        <w:bottom w:val="none" w:sz="0" w:space="0" w:color="auto"/>
        <w:right w:val="none" w:sz="0" w:space="0" w:color="auto"/>
      </w:divBdr>
    </w:div>
    <w:div w:id="603536605">
      <w:bodyDiv w:val="1"/>
      <w:marLeft w:val="0"/>
      <w:marRight w:val="0"/>
      <w:marTop w:val="0"/>
      <w:marBottom w:val="0"/>
      <w:divBdr>
        <w:top w:val="none" w:sz="0" w:space="0" w:color="auto"/>
        <w:left w:val="none" w:sz="0" w:space="0" w:color="auto"/>
        <w:bottom w:val="none" w:sz="0" w:space="0" w:color="auto"/>
        <w:right w:val="none" w:sz="0" w:space="0" w:color="auto"/>
      </w:divBdr>
    </w:div>
    <w:div w:id="734401166">
      <w:bodyDiv w:val="1"/>
      <w:marLeft w:val="0"/>
      <w:marRight w:val="0"/>
      <w:marTop w:val="0"/>
      <w:marBottom w:val="0"/>
      <w:divBdr>
        <w:top w:val="none" w:sz="0" w:space="0" w:color="auto"/>
        <w:left w:val="none" w:sz="0" w:space="0" w:color="auto"/>
        <w:bottom w:val="none" w:sz="0" w:space="0" w:color="auto"/>
        <w:right w:val="none" w:sz="0" w:space="0" w:color="auto"/>
      </w:divBdr>
    </w:div>
    <w:div w:id="1024360242">
      <w:bodyDiv w:val="1"/>
      <w:marLeft w:val="0"/>
      <w:marRight w:val="0"/>
      <w:marTop w:val="0"/>
      <w:marBottom w:val="0"/>
      <w:divBdr>
        <w:top w:val="none" w:sz="0" w:space="0" w:color="auto"/>
        <w:left w:val="none" w:sz="0" w:space="0" w:color="auto"/>
        <w:bottom w:val="none" w:sz="0" w:space="0" w:color="auto"/>
        <w:right w:val="none" w:sz="0" w:space="0" w:color="auto"/>
      </w:divBdr>
    </w:div>
    <w:div w:id="1047991070">
      <w:bodyDiv w:val="1"/>
      <w:marLeft w:val="0"/>
      <w:marRight w:val="0"/>
      <w:marTop w:val="0"/>
      <w:marBottom w:val="0"/>
      <w:divBdr>
        <w:top w:val="none" w:sz="0" w:space="0" w:color="auto"/>
        <w:left w:val="none" w:sz="0" w:space="0" w:color="auto"/>
        <w:bottom w:val="none" w:sz="0" w:space="0" w:color="auto"/>
        <w:right w:val="none" w:sz="0" w:space="0" w:color="auto"/>
      </w:divBdr>
    </w:div>
    <w:div w:id="1231110674">
      <w:bodyDiv w:val="1"/>
      <w:marLeft w:val="0"/>
      <w:marRight w:val="0"/>
      <w:marTop w:val="0"/>
      <w:marBottom w:val="0"/>
      <w:divBdr>
        <w:top w:val="none" w:sz="0" w:space="0" w:color="auto"/>
        <w:left w:val="none" w:sz="0" w:space="0" w:color="auto"/>
        <w:bottom w:val="none" w:sz="0" w:space="0" w:color="auto"/>
        <w:right w:val="none" w:sz="0" w:space="0" w:color="auto"/>
      </w:divBdr>
    </w:div>
    <w:div w:id="1358123364">
      <w:bodyDiv w:val="1"/>
      <w:marLeft w:val="0"/>
      <w:marRight w:val="0"/>
      <w:marTop w:val="0"/>
      <w:marBottom w:val="0"/>
      <w:divBdr>
        <w:top w:val="none" w:sz="0" w:space="0" w:color="auto"/>
        <w:left w:val="none" w:sz="0" w:space="0" w:color="auto"/>
        <w:bottom w:val="none" w:sz="0" w:space="0" w:color="auto"/>
        <w:right w:val="none" w:sz="0" w:space="0" w:color="auto"/>
      </w:divBdr>
    </w:div>
    <w:div w:id="1425029820">
      <w:bodyDiv w:val="1"/>
      <w:marLeft w:val="0"/>
      <w:marRight w:val="0"/>
      <w:marTop w:val="0"/>
      <w:marBottom w:val="0"/>
      <w:divBdr>
        <w:top w:val="none" w:sz="0" w:space="0" w:color="auto"/>
        <w:left w:val="none" w:sz="0" w:space="0" w:color="auto"/>
        <w:bottom w:val="none" w:sz="0" w:space="0" w:color="auto"/>
        <w:right w:val="none" w:sz="0" w:space="0" w:color="auto"/>
      </w:divBdr>
    </w:div>
    <w:div w:id="1565726080">
      <w:bodyDiv w:val="1"/>
      <w:marLeft w:val="0"/>
      <w:marRight w:val="0"/>
      <w:marTop w:val="0"/>
      <w:marBottom w:val="0"/>
      <w:divBdr>
        <w:top w:val="none" w:sz="0" w:space="0" w:color="auto"/>
        <w:left w:val="none" w:sz="0" w:space="0" w:color="auto"/>
        <w:bottom w:val="none" w:sz="0" w:space="0" w:color="auto"/>
        <w:right w:val="none" w:sz="0" w:space="0" w:color="auto"/>
      </w:divBdr>
    </w:div>
    <w:div w:id="1597982935">
      <w:bodyDiv w:val="1"/>
      <w:marLeft w:val="0"/>
      <w:marRight w:val="0"/>
      <w:marTop w:val="0"/>
      <w:marBottom w:val="0"/>
      <w:divBdr>
        <w:top w:val="none" w:sz="0" w:space="0" w:color="auto"/>
        <w:left w:val="none" w:sz="0" w:space="0" w:color="auto"/>
        <w:bottom w:val="none" w:sz="0" w:space="0" w:color="auto"/>
        <w:right w:val="none" w:sz="0" w:space="0" w:color="auto"/>
      </w:divBdr>
    </w:div>
    <w:div w:id="1717580436">
      <w:bodyDiv w:val="1"/>
      <w:marLeft w:val="0"/>
      <w:marRight w:val="0"/>
      <w:marTop w:val="0"/>
      <w:marBottom w:val="0"/>
      <w:divBdr>
        <w:top w:val="none" w:sz="0" w:space="0" w:color="auto"/>
        <w:left w:val="none" w:sz="0" w:space="0" w:color="auto"/>
        <w:bottom w:val="none" w:sz="0" w:space="0" w:color="auto"/>
        <w:right w:val="none" w:sz="0" w:space="0" w:color="auto"/>
      </w:divBdr>
    </w:div>
    <w:div w:id="1727336689">
      <w:bodyDiv w:val="1"/>
      <w:marLeft w:val="0"/>
      <w:marRight w:val="0"/>
      <w:marTop w:val="0"/>
      <w:marBottom w:val="0"/>
      <w:divBdr>
        <w:top w:val="none" w:sz="0" w:space="0" w:color="auto"/>
        <w:left w:val="none" w:sz="0" w:space="0" w:color="auto"/>
        <w:bottom w:val="none" w:sz="0" w:space="0" w:color="auto"/>
        <w:right w:val="none" w:sz="0" w:space="0" w:color="auto"/>
      </w:divBdr>
    </w:div>
    <w:div w:id="1783528254">
      <w:bodyDiv w:val="1"/>
      <w:marLeft w:val="0"/>
      <w:marRight w:val="0"/>
      <w:marTop w:val="0"/>
      <w:marBottom w:val="0"/>
      <w:divBdr>
        <w:top w:val="none" w:sz="0" w:space="0" w:color="auto"/>
        <w:left w:val="none" w:sz="0" w:space="0" w:color="auto"/>
        <w:bottom w:val="none" w:sz="0" w:space="0" w:color="auto"/>
        <w:right w:val="none" w:sz="0" w:space="0" w:color="auto"/>
      </w:divBdr>
    </w:div>
    <w:div w:id="2075466161">
      <w:bodyDiv w:val="1"/>
      <w:marLeft w:val="0"/>
      <w:marRight w:val="0"/>
      <w:marTop w:val="0"/>
      <w:marBottom w:val="0"/>
      <w:divBdr>
        <w:top w:val="none" w:sz="0" w:space="0" w:color="auto"/>
        <w:left w:val="none" w:sz="0" w:space="0" w:color="auto"/>
        <w:bottom w:val="none" w:sz="0" w:space="0" w:color="auto"/>
        <w:right w:val="none" w:sz="0" w:space="0" w:color="auto"/>
      </w:divBdr>
    </w:div>
    <w:div w:id="2095858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canr.org/sites/anrstaff/Administration/Business_Operations/Business_Operations_Center_-_Davis_476/"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canr.org/sites/anrstaff/Administration/Business_Operations/Business_Operations_Center_-_Kearney/" TargetMode="External"/><Relationship Id="rId17" Type="http://schemas.openxmlformats.org/officeDocument/2006/relationships/hyperlink" Target="mailto:ANRStaffPersonnel@ucdavis.edu" TargetMode="External"/><Relationship Id="rId2" Type="http://schemas.openxmlformats.org/officeDocument/2006/relationships/numbering" Target="numbering.xml"/><Relationship Id="rId16" Type="http://schemas.openxmlformats.org/officeDocument/2006/relationships/hyperlink" Target="http://ucanr.org/sites/anrstaff/files/121719.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canr.org/sites/anrstaff/Administration/Business_Services/Contracts_&amp;_Grants/Composite_Benefit_Rates/" TargetMode="External"/><Relationship Id="rId5" Type="http://schemas.openxmlformats.org/officeDocument/2006/relationships/settings" Target="settings.xml"/><Relationship Id="rId15" Type="http://schemas.openxmlformats.org/officeDocument/2006/relationships/hyperlink" Target="http://ucanr.org/sites/anrstaff/files/131424.xlsx" TargetMode="External"/><Relationship Id="rId10" Type="http://schemas.openxmlformats.org/officeDocument/2006/relationships/hyperlink" Target="https://sse.ucop.edu/tcs/jsp/nonAcademicTitlesSearch.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canr.org/sites/anrstaff/Administration/Business_Operations/Staff_Personnel/" TargetMode="External"/><Relationship Id="rId14" Type="http://schemas.openxmlformats.org/officeDocument/2006/relationships/hyperlink" Target="mailto:ANRStaffPersonnel@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6B345-72C5-4AD4-970F-86C8D254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Report Title</vt:lpstr>
    </vt:vector>
  </TitlesOfParts>
  <Company>ANR Communication Services</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jmichell</dc:creator>
  <cp:lastModifiedBy>Jennifer K Plowman</cp:lastModifiedBy>
  <cp:revision>3</cp:revision>
  <cp:lastPrinted>2011-08-11T15:02:00Z</cp:lastPrinted>
  <dcterms:created xsi:type="dcterms:W3CDTF">2011-12-14T18:50:00Z</dcterms:created>
  <dcterms:modified xsi:type="dcterms:W3CDTF">2011-12-22T18:04:00Z</dcterms:modified>
</cp:coreProperties>
</file>