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Look w:val="04A0" w:firstRow="1" w:lastRow="0" w:firstColumn="1" w:lastColumn="0" w:noHBand="0" w:noVBand="1"/>
      </w:tblPr>
      <w:tblGrid>
        <w:gridCol w:w="5220"/>
        <w:gridCol w:w="3870"/>
        <w:gridCol w:w="2520"/>
      </w:tblGrid>
      <w:tr w:rsidR="007E14E1" w:rsidTr="00B857E4">
        <w:trPr>
          <w:trHeight w:val="350"/>
        </w:trPr>
        <w:tc>
          <w:tcPr>
            <w:tcW w:w="11610" w:type="dxa"/>
            <w:gridSpan w:val="3"/>
            <w:shd w:val="clear" w:color="auto" w:fill="F1B305"/>
          </w:tcPr>
          <w:p w:rsidR="007E14E1" w:rsidRPr="007E14E1" w:rsidRDefault="007E14E1" w:rsidP="00481EE1">
            <w:pPr>
              <w:spacing w:before="60"/>
              <w:jc w:val="center"/>
              <w:rPr>
                <w:rFonts w:asciiTheme="majorHAnsi" w:eastAsiaTheme="majorEastAsia" w:hAnsiTheme="majorHAnsi" w:cstheme="majorHAnsi"/>
              </w:rPr>
            </w:pPr>
            <w:r w:rsidRPr="007E14E1">
              <w:rPr>
                <w:rFonts w:asciiTheme="majorHAnsi" w:hAnsiTheme="majorHAnsi" w:cstheme="majorHAnsi"/>
                <w:sz w:val="21"/>
                <w:szCs w:val="21"/>
              </w:rPr>
              <w:t xml:space="preserve">For information regarding </w:t>
            </w:r>
            <w:hyperlink r:id="rId9" w:history="1">
              <w:r w:rsidRPr="007E14E1">
                <w:rPr>
                  <w:rStyle w:val="Hyperlink"/>
                  <w:rFonts w:asciiTheme="majorHAnsi" w:hAnsiTheme="majorHAnsi" w:cstheme="majorHAnsi"/>
                  <w:sz w:val="21"/>
                  <w:szCs w:val="21"/>
                </w:rPr>
                <w:t>ANR Staff Personnel</w:t>
              </w:r>
            </w:hyperlink>
            <w:r w:rsidRPr="007E14E1">
              <w:rPr>
                <w:rFonts w:asciiTheme="majorHAnsi" w:hAnsiTheme="majorHAnsi" w:cstheme="majorHAnsi"/>
                <w:sz w:val="21"/>
                <w:szCs w:val="21"/>
              </w:rPr>
              <w:t xml:space="preserve"> visit our webpage!</w:t>
            </w:r>
          </w:p>
        </w:tc>
      </w:tr>
      <w:tr w:rsidR="007E14E1" w:rsidTr="00DB75A8">
        <w:trPr>
          <w:trHeight w:val="4040"/>
        </w:trPr>
        <w:tc>
          <w:tcPr>
            <w:tcW w:w="9090" w:type="dxa"/>
            <w:gridSpan w:val="2"/>
            <w:shd w:val="clear" w:color="auto" w:fill="DBE5F1"/>
          </w:tcPr>
          <w:p w:rsidR="007E14E1" w:rsidRPr="008B47D7" w:rsidRDefault="007E14E1" w:rsidP="005047B6">
            <w:pPr>
              <w:rPr>
                <w:rFonts w:eastAsiaTheme="majorEastAsia"/>
                <w:sz w:val="8"/>
                <w:szCs w:val="8"/>
              </w:rPr>
            </w:pPr>
          </w:p>
          <w:tbl>
            <w:tblPr>
              <w:tblStyle w:val="TableGrid"/>
              <w:tblW w:w="0" w:type="auto"/>
              <w:tblLayout w:type="fixed"/>
              <w:tblLook w:val="04A0" w:firstRow="1" w:lastRow="0" w:firstColumn="1" w:lastColumn="0" w:noHBand="0" w:noVBand="1"/>
            </w:tblPr>
            <w:tblGrid>
              <w:gridCol w:w="8887"/>
            </w:tblGrid>
            <w:tr w:rsidR="005047B6" w:rsidTr="00B857E4">
              <w:tc>
                <w:tcPr>
                  <w:tcW w:w="8887" w:type="dxa"/>
                  <w:shd w:val="clear" w:color="auto" w:fill="003399"/>
                </w:tcPr>
                <w:p w:rsidR="005047B6" w:rsidRPr="006100CF" w:rsidRDefault="0007764D" w:rsidP="00B857E4">
                  <w:pPr>
                    <w:rPr>
                      <w:rFonts w:asciiTheme="majorHAnsi" w:eastAsiaTheme="majorEastAsia" w:hAnsiTheme="majorHAnsi" w:cstheme="majorHAnsi"/>
                      <w:b/>
                      <w:sz w:val="22"/>
                      <w:szCs w:val="22"/>
                    </w:rPr>
                  </w:pPr>
                  <w:r w:rsidRPr="006100CF">
                    <w:rPr>
                      <w:b/>
                      <w:u w:val="single"/>
                    </w:rPr>
                    <w:t>Annual C</w:t>
                  </w:r>
                  <w:r w:rsidR="00DA1D35">
                    <w:rPr>
                      <w:b/>
                      <w:u w:val="single"/>
                    </w:rPr>
                    <w:t>all for Performance Evaluations</w:t>
                  </w:r>
                </w:p>
              </w:tc>
            </w:tr>
          </w:tbl>
          <w:p w:rsidR="00B857E4" w:rsidRDefault="00B857E4" w:rsidP="00B857E4">
            <w:pPr>
              <w:rPr>
                <w:rFonts w:asciiTheme="majorHAnsi" w:hAnsiTheme="majorHAnsi" w:cstheme="majorHAnsi"/>
                <w:sz w:val="16"/>
                <w:szCs w:val="16"/>
              </w:rPr>
            </w:pPr>
          </w:p>
          <w:p w:rsidR="0007764D" w:rsidRDefault="0007764D" w:rsidP="00B857E4">
            <w:pPr>
              <w:rPr>
                <w:rFonts w:asciiTheme="majorHAnsi" w:eastAsiaTheme="majorEastAsia" w:hAnsiTheme="majorHAnsi" w:cstheme="majorHAnsi"/>
                <w:b/>
                <w:color w:val="F1B305"/>
              </w:rPr>
            </w:pPr>
            <w:r w:rsidRPr="00B05460">
              <w:rPr>
                <w:rFonts w:asciiTheme="majorHAnsi" w:eastAsiaTheme="majorEastAsia" w:hAnsiTheme="majorHAnsi" w:cstheme="majorHAnsi"/>
                <w:b/>
                <w:color w:val="F1B305"/>
              </w:rPr>
              <w:t>A</w:t>
            </w:r>
          </w:p>
          <w:p w:rsidR="0007764D" w:rsidRPr="00456D21" w:rsidRDefault="0007764D" w:rsidP="00B857E4">
            <w:pPr>
              <w:rPr>
                <w:rFonts w:asciiTheme="majorHAnsi" w:eastAsiaTheme="majorEastAsia" w:hAnsiTheme="majorHAnsi" w:cstheme="majorHAnsi"/>
                <w:b/>
                <w:color w:val="F1B305"/>
                <w:sz w:val="16"/>
                <w:szCs w:val="16"/>
              </w:rPr>
            </w:pPr>
          </w:p>
          <w:p w:rsidR="00971B31" w:rsidRDefault="00971B31" w:rsidP="00971B31">
            <w:r>
              <w:t>The SPU has issued the call for Staff employee performance evaluations for FY 2011-12.  An email notice with performance evaluation instructions was sent to Directors in early June.  For those of you who like to plan ahead, the deadline this year for submitting evaluations is August 13, 2012.  More information on performance evaluation can be found at the Staff Personnel Unit website under the performance and management section:</w:t>
            </w:r>
          </w:p>
          <w:p w:rsidR="00971B31" w:rsidRPr="00971B31" w:rsidRDefault="00E22876" w:rsidP="00971B31">
            <w:pPr>
              <w:rPr>
                <w:color w:val="1F497D"/>
                <w:sz w:val="22"/>
                <w:szCs w:val="22"/>
              </w:rPr>
            </w:pPr>
            <w:hyperlink r:id="rId10" w:history="1">
              <w:r w:rsidR="00971B31" w:rsidRPr="00971B31">
                <w:rPr>
                  <w:rStyle w:val="Hyperlink"/>
                  <w:sz w:val="22"/>
                  <w:szCs w:val="22"/>
                </w:rPr>
                <w:t>http://ucanr.org/sites/anrstaff/Administration/Business_Operations/Staff_Personnel/</w:t>
              </w:r>
            </w:hyperlink>
            <w:r w:rsidR="00971B31" w:rsidRPr="00971B31">
              <w:rPr>
                <w:color w:val="1F497D"/>
                <w:sz w:val="22"/>
                <w:szCs w:val="22"/>
              </w:rPr>
              <w:t>.</w:t>
            </w:r>
          </w:p>
          <w:p w:rsidR="00971B31" w:rsidRDefault="00971B31" w:rsidP="00971B31">
            <w:pPr>
              <w:rPr>
                <w:color w:val="1F497D"/>
              </w:rPr>
            </w:pPr>
          </w:p>
          <w:p w:rsidR="00971B31" w:rsidRPr="009A0EBE" w:rsidRDefault="00971B31" w:rsidP="00971B31">
            <w:r w:rsidRPr="009A0EBE">
              <w:t>*Oakland-based employees will follow the UCOP guidelines that will be coming out soon.</w:t>
            </w:r>
          </w:p>
          <w:p w:rsidR="006100CF" w:rsidRPr="006100CF" w:rsidRDefault="006100CF" w:rsidP="006100CF">
            <w:pPr>
              <w:tabs>
                <w:tab w:val="left" w:pos="0"/>
              </w:tabs>
              <w:jc w:val="right"/>
              <w:rPr>
                <w:rFonts w:cs="Times New Roman"/>
                <w:color w:val="000000"/>
              </w:rPr>
            </w:pPr>
            <w:r>
              <w:rPr>
                <w:rFonts w:cs="Times New Roman"/>
                <w:color w:val="000000"/>
              </w:rPr>
              <w:t>Margaret</w:t>
            </w:r>
            <w:r w:rsidRPr="006100CF">
              <w:rPr>
                <w:rFonts w:cs="Times New Roman"/>
                <w:color w:val="000000"/>
              </w:rPr>
              <w:t xml:space="preserve"> </w:t>
            </w:r>
            <w:r>
              <w:rPr>
                <w:rFonts w:cs="Times New Roman"/>
                <w:color w:val="000000"/>
              </w:rPr>
              <w:t>Leong</w:t>
            </w:r>
            <w:r w:rsidRPr="006100CF">
              <w:rPr>
                <w:rFonts w:cs="Times New Roman"/>
                <w:color w:val="000000"/>
              </w:rPr>
              <w:t xml:space="preserve"> </w:t>
            </w:r>
          </w:p>
          <w:p w:rsidR="00B857E4" w:rsidRPr="00A375A9" w:rsidRDefault="006100CF" w:rsidP="00E22876">
            <w:pPr>
              <w:jc w:val="right"/>
              <w:rPr>
                <w:rFonts w:asciiTheme="majorHAnsi" w:hAnsiTheme="majorHAnsi" w:cstheme="majorHAnsi"/>
                <w:sz w:val="22"/>
                <w:szCs w:val="22"/>
              </w:rPr>
            </w:pPr>
            <w:r>
              <w:rPr>
                <w:rFonts w:cs="Times New Roman"/>
                <w:color w:val="000000"/>
              </w:rPr>
              <w:t xml:space="preserve">  </w:t>
            </w:r>
            <w:r w:rsidRPr="006100CF">
              <w:rPr>
                <w:rFonts w:cs="Times New Roman"/>
                <w:color w:val="000000"/>
              </w:rPr>
              <w:t>Personnel Analyst</w:t>
            </w:r>
          </w:p>
        </w:tc>
        <w:tc>
          <w:tcPr>
            <w:tcW w:w="2520" w:type="dxa"/>
            <w:shd w:val="clear" w:color="auto" w:fill="DBE5F1"/>
          </w:tcPr>
          <w:p w:rsidR="00E81564" w:rsidRPr="00E81564" w:rsidRDefault="00E81564" w:rsidP="00E81564">
            <w:pPr>
              <w:ind w:right="144"/>
              <w:jc w:val="both"/>
              <w:rPr>
                <w:rFonts w:asciiTheme="majorHAnsi" w:hAnsiTheme="majorHAnsi" w:cstheme="majorHAnsi"/>
                <w:sz w:val="8"/>
                <w:szCs w:val="8"/>
              </w:rPr>
            </w:pPr>
          </w:p>
          <w:tbl>
            <w:tblPr>
              <w:tblStyle w:val="TableGrid"/>
              <w:tblW w:w="2317" w:type="dxa"/>
              <w:tblLayout w:type="fixed"/>
              <w:tblLook w:val="04A0" w:firstRow="1" w:lastRow="0" w:firstColumn="1" w:lastColumn="0" w:noHBand="0" w:noVBand="1"/>
            </w:tblPr>
            <w:tblGrid>
              <w:gridCol w:w="2317"/>
            </w:tblGrid>
            <w:tr w:rsidR="00E81564" w:rsidTr="00E81564">
              <w:tc>
                <w:tcPr>
                  <w:tcW w:w="2317" w:type="dxa"/>
                  <w:shd w:val="clear" w:color="auto" w:fill="003399"/>
                </w:tcPr>
                <w:p w:rsidR="00E81564" w:rsidRPr="00E81564" w:rsidRDefault="00E81564" w:rsidP="0055760E">
                  <w:pPr>
                    <w:ind w:right="144"/>
                    <w:jc w:val="both"/>
                    <w:rPr>
                      <w:rFonts w:asciiTheme="majorHAnsi" w:hAnsiTheme="majorHAnsi" w:cstheme="majorHAnsi"/>
                      <w:b/>
                      <w:sz w:val="22"/>
                      <w:szCs w:val="22"/>
                      <w:u w:val="single"/>
                    </w:rPr>
                  </w:pPr>
                  <w:r>
                    <w:rPr>
                      <w:rFonts w:asciiTheme="majorHAnsi" w:hAnsiTheme="majorHAnsi" w:cstheme="majorHAnsi"/>
                      <w:b/>
                      <w:sz w:val="22"/>
                      <w:szCs w:val="22"/>
                      <w:u w:val="single"/>
                    </w:rPr>
                    <w:t>ANR Unit Key</w:t>
                  </w:r>
                </w:p>
              </w:tc>
            </w:tr>
          </w:tbl>
          <w:p w:rsidR="00E81564" w:rsidRPr="00E81564" w:rsidRDefault="00E81564" w:rsidP="0055760E">
            <w:pPr>
              <w:ind w:left="144" w:right="144"/>
              <w:jc w:val="both"/>
              <w:rPr>
                <w:rFonts w:asciiTheme="majorHAnsi" w:hAnsiTheme="majorHAnsi" w:cstheme="majorHAnsi"/>
                <w:sz w:val="16"/>
                <w:szCs w:val="16"/>
              </w:rPr>
            </w:pPr>
          </w:p>
          <w:p w:rsidR="00481EE1" w:rsidRPr="00481EE1" w:rsidRDefault="00481EE1" w:rsidP="00E81564">
            <w:pPr>
              <w:jc w:val="both"/>
              <w:rPr>
                <w:rFonts w:asciiTheme="majorHAnsi" w:hAnsiTheme="majorHAnsi" w:cstheme="majorHAnsi"/>
                <w:sz w:val="22"/>
                <w:szCs w:val="22"/>
              </w:rPr>
            </w:pPr>
            <w:r w:rsidRPr="00481EE1">
              <w:rPr>
                <w:rFonts w:asciiTheme="majorHAnsi" w:hAnsiTheme="majorHAnsi" w:cstheme="majorHAnsi"/>
                <w:sz w:val="22"/>
                <w:szCs w:val="22"/>
              </w:rPr>
              <w:t>If we use one of the below icons in the article, then the information in that article will apply specifically to those units.</w:t>
            </w:r>
          </w:p>
          <w:p w:rsidR="00B05460" w:rsidRDefault="00B05460" w:rsidP="00B857E4">
            <w:pPr>
              <w:rPr>
                <w:rFonts w:asciiTheme="majorHAnsi" w:hAnsiTheme="majorHAnsi" w:cstheme="majorHAnsi"/>
                <w:sz w:val="22"/>
                <w:szCs w:val="22"/>
              </w:rPr>
            </w:pPr>
          </w:p>
          <w:p w:rsidR="00481EE1" w:rsidRPr="00481EE1"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All Units</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C</w:t>
            </w:r>
            <w:r w:rsidR="00481EE1" w:rsidRPr="00481EE1">
              <w:rPr>
                <w:rFonts w:asciiTheme="majorHAnsi" w:eastAsiaTheme="majorEastAsia" w:hAnsiTheme="majorHAnsi" w:cstheme="majorHAnsi"/>
                <w:sz w:val="22"/>
                <w:szCs w:val="22"/>
              </w:rPr>
              <w:t xml:space="preserve"> = </w:t>
            </w:r>
            <w:r w:rsidR="00C021FF">
              <w:rPr>
                <w:rFonts w:asciiTheme="majorHAnsi" w:eastAsiaTheme="majorEastAsia" w:hAnsiTheme="majorHAnsi" w:cstheme="majorHAnsi"/>
                <w:sz w:val="22"/>
                <w:szCs w:val="22"/>
              </w:rPr>
              <w:t>UCCE</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D</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Davis Units</w:t>
            </w:r>
          </w:p>
          <w:p w:rsid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O</w:t>
            </w:r>
            <w:r>
              <w:rPr>
                <w:rFonts w:asciiTheme="majorHAnsi" w:eastAsiaTheme="majorEastAsia" w:hAnsiTheme="majorHAnsi" w:cstheme="majorHAnsi"/>
                <w:sz w:val="22"/>
                <w:szCs w:val="22"/>
              </w:rPr>
              <w:t xml:space="preserve"> </w:t>
            </w:r>
            <w:r w:rsidR="00481EE1" w:rsidRPr="00481EE1">
              <w:rPr>
                <w:rFonts w:asciiTheme="majorHAnsi" w:eastAsiaTheme="majorEastAsia" w:hAnsiTheme="majorHAnsi" w:cstheme="majorHAnsi"/>
                <w:sz w:val="22"/>
                <w:szCs w:val="22"/>
              </w:rPr>
              <w:t>= Oakland</w:t>
            </w:r>
            <w:r w:rsidR="00D83CF2">
              <w:rPr>
                <w:rFonts w:asciiTheme="majorHAnsi" w:eastAsiaTheme="majorEastAsia" w:hAnsiTheme="majorHAnsi" w:cstheme="majorHAnsi"/>
                <w:sz w:val="22"/>
                <w:szCs w:val="22"/>
              </w:rPr>
              <w:t xml:space="preserve"> Uni</w:t>
            </w:r>
            <w:r w:rsidR="00481EE1" w:rsidRPr="00481EE1">
              <w:rPr>
                <w:rFonts w:asciiTheme="majorHAnsi" w:eastAsiaTheme="majorEastAsia" w:hAnsiTheme="majorHAnsi" w:cstheme="majorHAnsi"/>
                <w:sz w:val="22"/>
                <w:szCs w:val="22"/>
              </w:rPr>
              <w:t>ts</w:t>
            </w:r>
          </w:p>
          <w:p w:rsidR="00481EE1" w:rsidRP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R</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xml:space="preserve">= </w:t>
            </w:r>
            <w:r w:rsidR="00C021FF">
              <w:rPr>
                <w:rFonts w:asciiTheme="majorHAnsi" w:eastAsiaTheme="majorEastAsia" w:hAnsiTheme="majorHAnsi" w:cstheme="majorHAnsi"/>
                <w:sz w:val="22"/>
                <w:szCs w:val="22"/>
              </w:rPr>
              <w:t>RECS</w:t>
            </w:r>
          </w:p>
        </w:tc>
      </w:tr>
      <w:tr w:rsidR="007E14E1" w:rsidTr="00B857E4">
        <w:tc>
          <w:tcPr>
            <w:tcW w:w="11610" w:type="dxa"/>
            <w:gridSpan w:val="3"/>
            <w:shd w:val="clear" w:color="auto" w:fill="DBE5F1"/>
          </w:tcPr>
          <w:p w:rsidR="007E14E1" w:rsidRPr="008B47D7" w:rsidRDefault="007E14E1" w:rsidP="00481EE1">
            <w:pPr>
              <w:rPr>
                <w:rFonts w:eastAsiaTheme="majorEastAsia"/>
                <w:sz w:val="8"/>
                <w:szCs w:val="8"/>
              </w:rPr>
            </w:pPr>
          </w:p>
          <w:tbl>
            <w:tblPr>
              <w:tblStyle w:val="TableGrid"/>
              <w:tblW w:w="0" w:type="auto"/>
              <w:tblLayout w:type="fixed"/>
              <w:tblLook w:val="04A0" w:firstRow="1" w:lastRow="0" w:firstColumn="1" w:lastColumn="0" w:noHBand="0" w:noVBand="1"/>
            </w:tblPr>
            <w:tblGrid>
              <w:gridCol w:w="11379"/>
            </w:tblGrid>
            <w:tr w:rsidR="00481EE1" w:rsidTr="00B857E4">
              <w:tc>
                <w:tcPr>
                  <w:tcW w:w="11379" w:type="dxa"/>
                  <w:shd w:val="clear" w:color="auto" w:fill="003399"/>
                </w:tcPr>
                <w:p w:rsidR="00481EE1" w:rsidRPr="00C85651" w:rsidRDefault="00456D21" w:rsidP="00FB3F3B">
                  <w:pPr>
                    <w:rPr>
                      <w:rFonts w:ascii="Comic Sans MS" w:hAnsi="Comic Sans MS"/>
                      <w:color w:val="000000"/>
                      <w:u w:val="single"/>
                    </w:rPr>
                  </w:pPr>
                  <w:r>
                    <w:rPr>
                      <w:b/>
                      <w:bCs/>
                      <w:u w:val="single"/>
                    </w:rPr>
                    <w:t>ANR Compensation Strategies (Part 2 of 3)</w:t>
                  </w:r>
                </w:p>
              </w:tc>
            </w:tr>
          </w:tbl>
          <w:p w:rsidR="00D83CF2" w:rsidRDefault="00D83CF2" w:rsidP="00E74E25">
            <w:pPr>
              <w:rPr>
                <w:rFonts w:asciiTheme="majorHAnsi" w:hAnsiTheme="majorHAnsi" w:cstheme="majorHAnsi"/>
                <w:sz w:val="16"/>
                <w:szCs w:val="16"/>
              </w:rPr>
            </w:pPr>
          </w:p>
          <w:p w:rsidR="00C85651" w:rsidRDefault="00456D21" w:rsidP="00E74E25">
            <w:pPr>
              <w:rPr>
                <w:rFonts w:asciiTheme="majorHAnsi" w:eastAsiaTheme="majorEastAsia" w:hAnsiTheme="majorHAnsi" w:cstheme="majorHAnsi"/>
                <w:b/>
                <w:color w:val="F1B305"/>
              </w:rPr>
            </w:pPr>
            <w:r>
              <w:rPr>
                <w:rFonts w:asciiTheme="majorHAnsi" w:eastAsiaTheme="majorEastAsia" w:hAnsiTheme="majorHAnsi" w:cstheme="majorHAnsi"/>
                <w:b/>
                <w:color w:val="F1B305"/>
              </w:rPr>
              <w:t>C, D, &amp; R</w:t>
            </w:r>
          </w:p>
          <w:p w:rsidR="00456D21" w:rsidRDefault="00456D21" w:rsidP="00E74E25">
            <w:pPr>
              <w:rPr>
                <w:rFonts w:asciiTheme="majorHAnsi" w:hAnsiTheme="majorHAnsi" w:cstheme="majorHAnsi"/>
                <w:sz w:val="16"/>
                <w:szCs w:val="16"/>
              </w:rPr>
            </w:pPr>
          </w:p>
          <w:p w:rsidR="00456D21" w:rsidRDefault="00456D21" w:rsidP="00456D21">
            <w:pPr>
              <w:rPr>
                <w:b/>
                <w:bCs/>
              </w:rPr>
            </w:pPr>
            <w:r>
              <w:rPr>
                <w:b/>
                <w:bCs/>
              </w:rPr>
              <w:t>Merits</w:t>
            </w:r>
          </w:p>
          <w:p w:rsidR="00456D21" w:rsidRDefault="00456D21" w:rsidP="00456D21">
            <w:r>
              <w:t>Merits are determined system wide based on a variety of factors, including union contracts, UC budgetary concerns and in some cases performance of the employee.  Decisions about within grade salary advancement for members of merit-based pay programs are based primarily on the staff member's performance.  Staff members whose positions have salary step structures are more limited.  Salary limitations can also be placed on a supervisor by union contracts.  The SPU will communicate with the directors of each unit when merits and implementation deadlines have been identified.</w:t>
            </w:r>
          </w:p>
          <w:p w:rsidR="00456D21" w:rsidRDefault="00456D21" w:rsidP="00456D21"/>
          <w:p w:rsidR="00456D21" w:rsidRDefault="00456D21" w:rsidP="00456D21">
            <w:r>
              <w:t xml:space="preserve">If there are any questions about a particular employee, please feel free to contact us at </w:t>
            </w:r>
            <w:hyperlink r:id="rId11" w:history="1">
              <w:r>
                <w:rPr>
                  <w:rStyle w:val="Hyperlink"/>
                </w:rPr>
                <w:t>anrstaffpersonnel@ucdavis.edu</w:t>
              </w:r>
            </w:hyperlink>
            <w:r>
              <w:t>  and we will look into it.</w:t>
            </w:r>
          </w:p>
          <w:p w:rsidR="00456D21" w:rsidRDefault="00456D21" w:rsidP="00456D21"/>
          <w:p w:rsidR="00456D21" w:rsidRDefault="00456D21" w:rsidP="00456D21">
            <w:pPr>
              <w:rPr>
                <w:b/>
                <w:bCs/>
              </w:rPr>
            </w:pPr>
            <w:r>
              <w:rPr>
                <w:b/>
                <w:bCs/>
              </w:rPr>
              <w:t>Administrative Stipends</w:t>
            </w:r>
          </w:p>
          <w:p w:rsidR="00456D21" w:rsidRDefault="00456D21" w:rsidP="00456D21">
            <w:r>
              <w:t xml:space="preserve">Administrative Stipends are utilized to compensate employees when there is a significant increase in the higher functions of an employee’s position description, on a temporary basis (a permanent change in duties would result in a reclassification).  For instance, if a Staff Research Associate III resigns and you need to reassign some of those duties temporarily to a Staff Research Associate II, it would be appropriate to request the SPU review the position description for a possibility of a stipend.  </w:t>
            </w:r>
          </w:p>
          <w:p w:rsidR="00456D21" w:rsidRDefault="00456D21" w:rsidP="00456D21"/>
          <w:p w:rsidR="00DB75A8" w:rsidRDefault="00456D21" w:rsidP="00456D21">
            <w:r>
              <w:t xml:space="preserve">Stipends requests are reviewed by the SPU for appropriateness of duties, and equity.  Please feel free to contact us at </w:t>
            </w:r>
            <w:hyperlink r:id="rId12" w:history="1">
              <w:r>
                <w:rPr>
                  <w:rStyle w:val="Hyperlink"/>
                </w:rPr>
                <w:t>anrstaffpersonnel@ucdavis.edu</w:t>
              </w:r>
            </w:hyperlink>
            <w:r>
              <w:t>  to request a stipend for a staff member.</w:t>
            </w:r>
          </w:p>
          <w:p w:rsidR="006100CF" w:rsidRDefault="006100CF" w:rsidP="00456D21"/>
          <w:p w:rsidR="006100CF" w:rsidRPr="006100CF" w:rsidRDefault="006100CF" w:rsidP="006100CF">
            <w:pPr>
              <w:tabs>
                <w:tab w:val="left" w:pos="0"/>
              </w:tabs>
              <w:jc w:val="right"/>
              <w:rPr>
                <w:rFonts w:cs="Times New Roman"/>
                <w:color w:val="000000"/>
              </w:rPr>
            </w:pPr>
            <w:r w:rsidRPr="006100CF">
              <w:rPr>
                <w:rFonts w:cs="Times New Roman"/>
                <w:color w:val="000000"/>
              </w:rPr>
              <w:t xml:space="preserve">Bethanie Brown </w:t>
            </w:r>
          </w:p>
          <w:p w:rsidR="00DB75A8" w:rsidRDefault="006100CF" w:rsidP="008C43C8">
            <w:pPr>
              <w:jc w:val="right"/>
              <w:rPr>
                <w:rFonts w:asciiTheme="majorHAnsi" w:eastAsiaTheme="majorEastAsia" w:hAnsiTheme="majorHAnsi" w:cstheme="majorHAnsi"/>
                <w:sz w:val="22"/>
                <w:szCs w:val="22"/>
              </w:rPr>
            </w:pPr>
            <w:r>
              <w:rPr>
                <w:rFonts w:cs="Times New Roman"/>
                <w:color w:val="000000"/>
              </w:rPr>
              <w:t xml:space="preserve">  </w:t>
            </w:r>
            <w:r w:rsidRPr="006100CF">
              <w:rPr>
                <w:rFonts w:cs="Times New Roman"/>
                <w:color w:val="000000"/>
              </w:rPr>
              <w:t>Personnel Analyst</w:t>
            </w:r>
          </w:p>
          <w:p w:rsidR="00C85651" w:rsidRPr="008C43C8" w:rsidRDefault="00C85651" w:rsidP="00DA1D35">
            <w:pPr>
              <w:rPr>
                <w:rFonts w:asciiTheme="majorHAnsi" w:eastAsiaTheme="majorEastAsia" w:hAnsiTheme="majorHAnsi" w:cstheme="majorHAnsi"/>
                <w:sz w:val="22"/>
                <w:szCs w:val="22"/>
              </w:rPr>
            </w:pPr>
          </w:p>
        </w:tc>
      </w:tr>
      <w:tr w:rsidR="00C021FF" w:rsidTr="00E22876">
        <w:trPr>
          <w:trHeight w:val="11150"/>
        </w:trPr>
        <w:tc>
          <w:tcPr>
            <w:tcW w:w="5220" w:type="dxa"/>
            <w:shd w:val="clear" w:color="auto" w:fill="DBE5F1"/>
          </w:tcPr>
          <w:p w:rsidR="00C021FF" w:rsidRPr="00FB3F3B" w:rsidRDefault="00C021FF" w:rsidP="00C021FF">
            <w:pPr>
              <w:rPr>
                <w:rFonts w:asciiTheme="majorHAnsi" w:eastAsiaTheme="majorEastAsia" w:hAnsiTheme="majorHAnsi" w:cstheme="majorHAnsi"/>
                <w:sz w:val="22"/>
                <w:szCs w:val="22"/>
              </w:rPr>
            </w:pPr>
          </w:p>
          <w:tbl>
            <w:tblPr>
              <w:tblStyle w:val="TableGrid"/>
              <w:tblW w:w="5017" w:type="dxa"/>
              <w:tblLayout w:type="fixed"/>
              <w:tblLook w:val="04A0" w:firstRow="1" w:lastRow="0" w:firstColumn="1" w:lastColumn="0" w:noHBand="0" w:noVBand="1"/>
            </w:tblPr>
            <w:tblGrid>
              <w:gridCol w:w="5017"/>
            </w:tblGrid>
            <w:tr w:rsidR="00C021FF" w:rsidRPr="00FB3F3B" w:rsidTr="0055760E">
              <w:tc>
                <w:tcPr>
                  <w:tcW w:w="5017" w:type="dxa"/>
                  <w:shd w:val="clear" w:color="auto" w:fill="003399"/>
                </w:tcPr>
                <w:p w:rsidR="00C021FF" w:rsidRPr="00DA1D35" w:rsidRDefault="00DA1D35" w:rsidP="00E22876">
                  <w:pPr>
                    <w:rPr>
                      <w:rFonts w:eastAsiaTheme="majorEastAsia" w:cstheme="majorHAnsi"/>
                      <w:sz w:val="22"/>
                      <w:szCs w:val="22"/>
                      <w:u w:val="single"/>
                    </w:rPr>
                  </w:pPr>
                  <w:r w:rsidRPr="00DA1D35">
                    <w:rPr>
                      <w:b/>
                      <w:bCs/>
                      <w:u w:val="single"/>
                    </w:rPr>
                    <w:t>Important Change to Insurance Coverage End Dates at Separation</w:t>
                  </w:r>
                </w:p>
              </w:tc>
            </w:tr>
          </w:tbl>
          <w:p w:rsidR="00185DBC" w:rsidRDefault="00185DBC" w:rsidP="00185DBC">
            <w:pPr>
              <w:jc w:val="both"/>
              <w:rPr>
                <w:rFonts w:asciiTheme="majorHAnsi" w:hAnsiTheme="majorHAnsi" w:cstheme="majorHAnsi"/>
                <w:sz w:val="16"/>
                <w:szCs w:val="16"/>
              </w:rPr>
            </w:pPr>
          </w:p>
          <w:p w:rsidR="00185DBC" w:rsidRDefault="00456D21" w:rsidP="00185DBC">
            <w:pPr>
              <w:jc w:val="both"/>
              <w:rPr>
                <w:rFonts w:asciiTheme="majorHAnsi" w:eastAsiaTheme="majorEastAsia" w:hAnsiTheme="majorHAnsi" w:cstheme="majorHAnsi"/>
                <w:b/>
                <w:color w:val="F1B305"/>
              </w:rPr>
            </w:pPr>
            <w:r w:rsidRPr="00B05460">
              <w:rPr>
                <w:rFonts w:asciiTheme="majorHAnsi" w:eastAsiaTheme="majorEastAsia" w:hAnsiTheme="majorHAnsi" w:cstheme="majorHAnsi"/>
                <w:b/>
                <w:color w:val="F1B305"/>
              </w:rPr>
              <w:t>A</w:t>
            </w:r>
          </w:p>
          <w:p w:rsidR="00456D21" w:rsidRDefault="00456D21" w:rsidP="00185DBC">
            <w:pPr>
              <w:jc w:val="both"/>
              <w:rPr>
                <w:rFonts w:asciiTheme="majorHAnsi" w:hAnsiTheme="majorHAnsi" w:cstheme="majorHAnsi"/>
                <w:sz w:val="16"/>
                <w:szCs w:val="16"/>
              </w:rPr>
            </w:pPr>
          </w:p>
          <w:p w:rsidR="00DA1D35" w:rsidRDefault="00DA1D35" w:rsidP="00DA1D35">
            <w:r>
              <w:t>Currently, upon separation from UC employment, health &amp; welfare plan coverage extends through the end of the following month for eligible employees (except for disability, which ends on the last day on pay status).</w:t>
            </w:r>
          </w:p>
          <w:p w:rsidR="00DA1D35" w:rsidRDefault="00DA1D35" w:rsidP="00DA1D35"/>
          <w:p w:rsidR="00DA1D35" w:rsidRDefault="00DA1D35" w:rsidP="00DA1D35">
            <w:r>
              <w:t>Effective with separations on or after July 1, 2012, coverage will end on the last day of the separation month rather than the last day of the following month. For example, an employee separates effective July 6 – coverage will end effective July 31 (disability coverage will end July 6). If an employee separates July 31 – coverage will end July 31.</w:t>
            </w:r>
          </w:p>
          <w:p w:rsidR="00A63623" w:rsidRDefault="00A63623" w:rsidP="00DA1D35"/>
          <w:p w:rsidR="00DA1D35" w:rsidRDefault="00DA1D35" w:rsidP="00DA1D35">
            <w:r>
              <w:t>For separations up to and including June 30, 2012, coverage will still extend to July 31.</w:t>
            </w:r>
          </w:p>
          <w:p w:rsidR="00DA1D35" w:rsidRDefault="00DA1D35" w:rsidP="00DA1D35"/>
          <w:p w:rsidR="00DA1D35" w:rsidRDefault="00DA1D35" w:rsidP="00DA1D35">
            <w:r>
              <w:t>Certain exceptions may apply for retirements, employee death and layoffs if the employee elects retirement.</w:t>
            </w:r>
          </w:p>
          <w:p w:rsidR="00A63623" w:rsidRDefault="00A63623" w:rsidP="00DA1D35"/>
          <w:p w:rsidR="00DA1D35" w:rsidRDefault="00DA1D35" w:rsidP="00DA1D35">
            <w:r>
              <w:t xml:space="preserve">Some </w:t>
            </w:r>
            <w:r w:rsidR="00A63623">
              <w:t>exclusion</w:t>
            </w:r>
            <w:r>
              <w:t xml:space="preserve"> also </w:t>
            </w:r>
            <w:proofErr w:type="gramStart"/>
            <w:r w:rsidR="00A63623">
              <w:t>apply</w:t>
            </w:r>
            <w:proofErr w:type="gramEnd"/>
            <w:r>
              <w:t xml:space="preserve">; for example the benefits program for Post Doc Scholars, Student Health Insurance, and PX and HX units are excluded. </w:t>
            </w:r>
          </w:p>
          <w:p w:rsidR="00DA1D35" w:rsidRDefault="00DA1D35" w:rsidP="00DA1D35"/>
          <w:p w:rsidR="00DA1D35" w:rsidRDefault="00DA1D35" w:rsidP="00DA1D35">
            <w:r>
              <w:t xml:space="preserve">You may learn more information about Benefits, or contact the Benefits office at this link: </w:t>
            </w:r>
            <w:hyperlink r:id="rId13" w:history="1">
              <w:r>
                <w:rPr>
                  <w:rStyle w:val="Hyperlink"/>
                </w:rPr>
                <w:t>http://www.hr.ucdavis.edu/benefits/</w:t>
              </w:r>
            </w:hyperlink>
            <w:r>
              <w:t xml:space="preserve">. </w:t>
            </w:r>
          </w:p>
          <w:p w:rsidR="00FB3F3B" w:rsidRDefault="00FB3F3B" w:rsidP="00DB75A8">
            <w:pPr>
              <w:ind w:left="144" w:right="144"/>
              <w:rPr>
                <w:rFonts w:asciiTheme="majorHAnsi" w:eastAsiaTheme="majorEastAsia" w:hAnsiTheme="majorHAnsi" w:cstheme="majorHAnsi"/>
                <w:sz w:val="22"/>
                <w:szCs w:val="22"/>
              </w:rPr>
            </w:pPr>
          </w:p>
          <w:p w:rsidR="006100CF" w:rsidRPr="006100CF" w:rsidRDefault="00A63623" w:rsidP="006100CF">
            <w:pPr>
              <w:tabs>
                <w:tab w:val="left" w:pos="0"/>
              </w:tabs>
              <w:jc w:val="right"/>
              <w:rPr>
                <w:rFonts w:cs="Times New Roman"/>
                <w:color w:val="000000"/>
              </w:rPr>
            </w:pPr>
            <w:r>
              <w:rPr>
                <w:rFonts w:cs="Times New Roman"/>
                <w:color w:val="000000"/>
              </w:rPr>
              <w:t>Jamie</w:t>
            </w:r>
            <w:r w:rsidR="006100CF" w:rsidRPr="006100CF">
              <w:rPr>
                <w:rFonts w:cs="Times New Roman"/>
                <w:color w:val="000000"/>
              </w:rPr>
              <w:t xml:space="preserve"> B</w:t>
            </w:r>
            <w:r>
              <w:rPr>
                <w:rFonts w:cs="Times New Roman"/>
                <w:color w:val="000000"/>
              </w:rPr>
              <w:t>anta</w:t>
            </w:r>
            <w:bookmarkStart w:id="0" w:name="_GoBack"/>
            <w:bookmarkEnd w:id="0"/>
            <w:r w:rsidR="006100CF" w:rsidRPr="006100CF">
              <w:rPr>
                <w:rFonts w:cs="Times New Roman"/>
                <w:color w:val="000000"/>
              </w:rPr>
              <w:t xml:space="preserve"> </w:t>
            </w:r>
          </w:p>
          <w:p w:rsidR="006100CF" w:rsidRPr="006100CF" w:rsidRDefault="006100CF" w:rsidP="006100CF">
            <w:pPr>
              <w:ind w:left="144" w:right="144"/>
              <w:jc w:val="right"/>
              <w:rPr>
                <w:rFonts w:eastAsiaTheme="majorEastAsia" w:cstheme="majorHAnsi"/>
                <w:sz w:val="22"/>
                <w:szCs w:val="22"/>
              </w:rPr>
            </w:pPr>
            <w:r w:rsidRPr="006100CF">
              <w:rPr>
                <w:rFonts w:cs="Times New Roman"/>
                <w:color w:val="000000"/>
              </w:rPr>
              <w:t xml:space="preserve">  Personnel Analyst</w:t>
            </w:r>
          </w:p>
        </w:tc>
        <w:tc>
          <w:tcPr>
            <w:tcW w:w="6390" w:type="dxa"/>
            <w:gridSpan w:val="2"/>
            <w:shd w:val="clear" w:color="auto" w:fill="DBE5F1"/>
          </w:tcPr>
          <w:p w:rsidR="00C021FF" w:rsidRPr="00FB3F3B" w:rsidRDefault="00C021FF" w:rsidP="00C021FF">
            <w:pPr>
              <w:rPr>
                <w:rFonts w:asciiTheme="majorHAnsi" w:eastAsiaTheme="majorEastAsia" w:hAnsiTheme="majorHAnsi" w:cstheme="majorHAnsi"/>
                <w:sz w:val="22"/>
                <w:szCs w:val="22"/>
              </w:rPr>
            </w:pPr>
          </w:p>
          <w:tbl>
            <w:tblPr>
              <w:tblStyle w:val="TableGrid"/>
              <w:tblW w:w="6187" w:type="dxa"/>
              <w:tblLayout w:type="fixed"/>
              <w:tblLook w:val="04A0" w:firstRow="1" w:lastRow="0" w:firstColumn="1" w:lastColumn="0" w:noHBand="0" w:noVBand="1"/>
            </w:tblPr>
            <w:tblGrid>
              <w:gridCol w:w="6187"/>
            </w:tblGrid>
            <w:tr w:rsidR="00C021FF" w:rsidRPr="00FB3F3B" w:rsidTr="0055760E">
              <w:tc>
                <w:tcPr>
                  <w:tcW w:w="6187" w:type="dxa"/>
                  <w:shd w:val="clear" w:color="auto" w:fill="003399"/>
                </w:tcPr>
                <w:p w:rsidR="00C021FF" w:rsidRPr="006100CF" w:rsidRDefault="006100CF" w:rsidP="00456D21">
                  <w:pPr>
                    <w:jc w:val="both"/>
                    <w:rPr>
                      <w:rFonts w:eastAsiaTheme="majorEastAsia" w:cstheme="majorHAnsi"/>
                      <w:sz w:val="22"/>
                      <w:szCs w:val="22"/>
                    </w:rPr>
                  </w:pPr>
                  <w:r w:rsidRPr="00831192">
                    <w:rPr>
                      <w:b/>
                      <w:sz w:val="22"/>
                      <w:szCs w:val="22"/>
                      <w:u w:val="single"/>
                    </w:rPr>
                    <w:t xml:space="preserve">Limited </w:t>
                  </w:r>
                  <w:r w:rsidRPr="006100CF">
                    <w:rPr>
                      <w:b/>
                      <w:u w:val="single"/>
                    </w:rPr>
                    <w:t>Term</w:t>
                  </w:r>
                  <w:r w:rsidRPr="00831192">
                    <w:rPr>
                      <w:b/>
                      <w:sz w:val="22"/>
                      <w:szCs w:val="22"/>
                      <w:u w:val="single"/>
                    </w:rPr>
                    <w:t xml:space="preserve"> Appointments – Probationary Period</w:t>
                  </w:r>
                </w:p>
              </w:tc>
            </w:tr>
          </w:tbl>
          <w:p w:rsidR="003119C2" w:rsidRDefault="003119C2" w:rsidP="00FB3F3B">
            <w:pPr>
              <w:rPr>
                <w:rFonts w:asciiTheme="majorHAnsi" w:eastAsiaTheme="majorEastAsia" w:hAnsiTheme="majorHAnsi" w:cstheme="majorHAnsi"/>
                <w:sz w:val="16"/>
                <w:szCs w:val="16"/>
              </w:rPr>
            </w:pPr>
          </w:p>
          <w:p w:rsidR="00456D21" w:rsidRDefault="00456D21" w:rsidP="00FB3F3B">
            <w:pPr>
              <w:rPr>
                <w:rFonts w:asciiTheme="majorHAnsi" w:eastAsiaTheme="majorEastAsia" w:hAnsiTheme="majorHAnsi" w:cstheme="majorHAnsi"/>
                <w:b/>
                <w:color w:val="F1B305"/>
              </w:rPr>
            </w:pPr>
            <w:r w:rsidRPr="00B05460">
              <w:rPr>
                <w:rFonts w:asciiTheme="majorHAnsi" w:eastAsiaTheme="majorEastAsia" w:hAnsiTheme="majorHAnsi" w:cstheme="majorHAnsi"/>
                <w:b/>
                <w:color w:val="F1B305"/>
              </w:rPr>
              <w:t>A</w:t>
            </w:r>
          </w:p>
          <w:p w:rsidR="00456D21" w:rsidRPr="00762616" w:rsidRDefault="00456D21" w:rsidP="00FB3F3B">
            <w:pPr>
              <w:rPr>
                <w:rFonts w:asciiTheme="majorHAnsi" w:eastAsiaTheme="majorEastAsia" w:hAnsiTheme="majorHAnsi" w:cstheme="majorHAnsi"/>
                <w:sz w:val="16"/>
                <w:szCs w:val="16"/>
              </w:rPr>
            </w:pPr>
          </w:p>
          <w:p w:rsidR="006100CF" w:rsidRDefault="006100CF" w:rsidP="006100CF">
            <w:r>
              <w:t xml:space="preserve">Limited Term Employees do not have a probationary period.  It is only when they become career that they have to complete a 6 month probationary period.  </w:t>
            </w:r>
          </w:p>
          <w:p w:rsidR="006100CF" w:rsidRDefault="006100CF" w:rsidP="006100CF"/>
          <w:p w:rsidR="006100CF" w:rsidRDefault="006100CF" w:rsidP="006100CF">
            <w:pPr>
              <w:rPr>
                <w:rStyle w:val="Hyperlink"/>
              </w:rPr>
            </w:pPr>
            <w:r>
              <w:t xml:space="preserve">For time served in a LTA, see specific policies/contract articles to see if credit applies: </w:t>
            </w:r>
            <w:hyperlink r:id="rId14" w:history="1">
              <w:r>
                <w:rPr>
                  <w:rStyle w:val="Hyperlink"/>
                </w:rPr>
                <w:t>http://ucanr.org/sites/anrstaff/files/121719.doc</w:t>
              </w:r>
            </w:hyperlink>
          </w:p>
          <w:p w:rsidR="006100CF" w:rsidRDefault="006100CF" w:rsidP="006100CF">
            <w:pPr>
              <w:rPr>
                <w:rStyle w:val="Hyperlink"/>
              </w:rPr>
            </w:pPr>
          </w:p>
          <w:p w:rsidR="006100CF" w:rsidRPr="006100CF" w:rsidRDefault="006100CF" w:rsidP="006100CF">
            <w:pPr>
              <w:jc w:val="right"/>
            </w:pPr>
            <w:r w:rsidRPr="006100CF">
              <w:t>Tina Perez</w:t>
            </w:r>
          </w:p>
          <w:p w:rsidR="006100CF" w:rsidRDefault="006100CF" w:rsidP="006100CF">
            <w:pPr>
              <w:jc w:val="right"/>
            </w:pPr>
            <w:r w:rsidRPr="006100CF">
              <w:t>Personnel Analyst</w:t>
            </w:r>
          </w:p>
          <w:p w:rsidR="00FB3F3B" w:rsidRPr="00FB3F3B" w:rsidRDefault="00FB3F3B" w:rsidP="00FB3F3B">
            <w:pPr>
              <w:rPr>
                <w:rFonts w:asciiTheme="majorHAnsi" w:eastAsiaTheme="majorEastAsia" w:hAnsiTheme="majorHAnsi" w:cstheme="majorHAnsi"/>
                <w:sz w:val="22"/>
                <w:szCs w:val="22"/>
              </w:rPr>
            </w:pPr>
          </w:p>
          <w:tbl>
            <w:tblPr>
              <w:tblStyle w:val="TableGrid"/>
              <w:tblW w:w="6187" w:type="dxa"/>
              <w:tblLayout w:type="fixed"/>
              <w:tblLook w:val="04A0" w:firstRow="1" w:lastRow="0" w:firstColumn="1" w:lastColumn="0" w:noHBand="0" w:noVBand="1"/>
            </w:tblPr>
            <w:tblGrid>
              <w:gridCol w:w="6187"/>
            </w:tblGrid>
            <w:tr w:rsidR="00C021FF" w:rsidRPr="00FB3F3B" w:rsidTr="0055760E">
              <w:tc>
                <w:tcPr>
                  <w:tcW w:w="6187" w:type="dxa"/>
                  <w:shd w:val="clear" w:color="auto" w:fill="003399"/>
                </w:tcPr>
                <w:p w:rsidR="00C021FF" w:rsidRPr="00FB3F3B" w:rsidRDefault="00DA1D35" w:rsidP="006100CF">
                  <w:pPr>
                    <w:rPr>
                      <w:rFonts w:asciiTheme="majorHAnsi" w:eastAsiaTheme="majorEastAsia" w:hAnsiTheme="majorHAnsi" w:cstheme="majorHAnsi"/>
                      <w:b/>
                      <w:sz w:val="22"/>
                      <w:szCs w:val="22"/>
                      <w:u w:val="single"/>
                    </w:rPr>
                  </w:pPr>
                  <w:r w:rsidRPr="006100CF">
                    <w:rPr>
                      <w:rFonts w:cstheme="majorHAnsi"/>
                      <w:b/>
                      <w:color w:val="FFFFFF"/>
                      <w:sz w:val="22"/>
                      <w:szCs w:val="22"/>
                      <w:u w:val="single"/>
                    </w:rPr>
                    <w:t xml:space="preserve">ANR Staff Personnel Unit  in </w:t>
                  </w:r>
                  <w:r>
                    <w:rPr>
                      <w:rFonts w:cstheme="majorHAnsi"/>
                      <w:b/>
                      <w:color w:val="FFFFFF"/>
                      <w:sz w:val="22"/>
                      <w:szCs w:val="22"/>
                      <w:u w:val="single"/>
                    </w:rPr>
                    <w:t>F</w:t>
                  </w:r>
                  <w:r w:rsidRPr="006100CF">
                    <w:rPr>
                      <w:rFonts w:cstheme="majorHAnsi"/>
                      <w:b/>
                      <w:color w:val="FFFFFF"/>
                      <w:sz w:val="22"/>
                      <w:szCs w:val="22"/>
                      <w:u w:val="single"/>
                    </w:rPr>
                    <w:t>l</w:t>
                  </w:r>
                  <w:r>
                    <w:rPr>
                      <w:rFonts w:cstheme="majorHAnsi"/>
                      <w:b/>
                      <w:color w:val="FFFFFF"/>
                      <w:sz w:val="22"/>
                      <w:szCs w:val="22"/>
                      <w:u w:val="single"/>
                    </w:rPr>
                    <w:t>ux</w:t>
                  </w:r>
                  <w:r w:rsidRPr="006100CF">
                    <w:rPr>
                      <w:rFonts w:cstheme="majorHAnsi"/>
                      <w:b/>
                      <w:color w:val="FFFFFF"/>
                      <w:sz w:val="22"/>
                      <w:szCs w:val="22"/>
                      <w:u w:val="single"/>
                    </w:rPr>
                    <w:t xml:space="preserve">  </w:t>
                  </w:r>
                </w:p>
              </w:tc>
            </w:tr>
          </w:tbl>
          <w:p w:rsidR="00C021FF" w:rsidRPr="00185DBC" w:rsidRDefault="00C021FF" w:rsidP="00FB3F3B">
            <w:pPr>
              <w:rPr>
                <w:rFonts w:asciiTheme="majorHAnsi" w:hAnsiTheme="majorHAnsi" w:cstheme="majorHAnsi"/>
                <w:sz w:val="16"/>
                <w:szCs w:val="16"/>
              </w:rPr>
            </w:pPr>
          </w:p>
          <w:p w:rsidR="006100CF" w:rsidRDefault="006100CF" w:rsidP="006100CF">
            <w:pPr>
              <w:rPr>
                <w:rFonts w:asciiTheme="majorHAnsi" w:eastAsiaTheme="majorEastAsia" w:hAnsiTheme="majorHAnsi" w:cstheme="majorHAnsi"/>
                <w:b/>
                <w:color w:val="F1B305"/>
              </w:rPr>
            </w:pPr>
            <w:r w:rsidRPr="00B05460">
              <w:rPr>
                <w:rFonts w:asciiTheme="majorHAnsi" w:eastAsiaTheme="majorEastAsia" w:hAnsiTheme="majorHAnsi" w:cstheme="majorHAnsi"/>
                <w:b/>
                <w:color w:val="F1B305"/>
              </w:rPr>
              <w:t>A</w:t>
            </w:r>
          </w:p>
          <w:p w:rsidR="006100CF" w:rsidRDefault="006100CF" w:rsidP="006100CF">
            <w:pPr>
              <w:rPr>
                <w:rFonts w:asciiTheme="majorHAnsi" w:eastAsiaTheme="majorEastAsia" w:hAnsiTheme="majorHAnsi" w:cstheme="majorHAnsi"/>
                <w:b/>
                <w:color w:val="F1B305"/>
              </w:rPr>
            </w:pPr>
          </w:p>
          <w:p w:rsidR="00DA1D35" w:rsidRDefault="00DA1D35" w:rsidP="00DA1D35">
            <w:r>
              <w:t xml:space="preserve">The Staff Personnel Unit continues to be in </w:t>
            </w:r>
            <w:proofErr w:type="gramStart"/>
            <w:r>
              <w:t>flux,</w:t>
            </w:r>
            <w:proofErr w:type="gramEnd"/>
            <w:r>
              <w:t xml:space="preserve"> we are still not fully staffed and are requesting your assistance and patience during this time.  We are asking that if your unit has a request such as a recruitment or layoff, that extra time be given to our office to process.  We do not have the staff necessary to expedite all requests so please be understanding and give us more time to process.  An analyst will communicate with you the expected timelines for completion when you submit your requests to the </w:t>
            </w:r>
            <w:hyperlink r:id="rId15" w:history="1">
              <w:r>
                <w:rPr>
                  <w:rStyle w:val="Hyperlink"/>
                </w:rPr>
                <w:t>anrstaffpersonnel@ucdavis.edu</w:t>
              </w:r>
            </w:hyperlink>
            <w:r>
              <w:t xml:space="preserve"> inbox.  </w:t>
            </w:r>
          </w:p>
          <w:p w:rsidR="00DA1D35" w:rsidRDefault="00DA1D35" w:rsidP="00DA1D35">
            <w:pPr>
              <w:ind w:left="144" w:right="144"/>
              <w:rPr>
                <w:rFonts w:asciiTheme="majorHAnsi" w:eastAsiaTheme="majorEastAsia" w:hAnsiTheme="majorHAnsi" w:cstheme="majorHAnsi"/>
                <w:sz w:val="22"/>
                <w:szCs w:val="22"/>
              </w:rPr>
            </w:pPr>
          </w:p>
          <w:p w:rsidR="00DA1D35" w:rsidRPr="006100CF" w:rsidRDefault="00DA1D35" w:rsidP="00DA1D35">
            <w:pPr>
              <w:tabs>
                <w:tab w:val="left" w:pos="0"/>
              </w:tabs>
              <w:jc w:val="right"/>
              <w:rPr>
                <w:rFonts w:cs="Times New Roman"/>
                <w:color w:val="000000"/>
              </w:rPr>
            </w:pPr>
            <w:r w:rsidRPr="006100CF">
              <w:rPr>
                <w:rFonts w:cs="Times New Roman"/>
                <w:color w:val="000000"/>
              </w:rPr>
              <w:t xml:space="preserve">Bethanie Brown </w:t>
            </w:r>
          </w:p>
          <w:p w:rsidR="006100CF" w:rsidRPr="00185DBC" w:rsidRDefault="00DA1D35" w:rsidP="00DA1D35">
            <w:pPr>
              <w:jc w:val="right"/>
              <w:rPr>
                <w:rFonts w:asciiTheme="majorHAnsi" w:hAnsiTheme="majorHAnsi" w:cstheme="majorHAnsi"/>
                <w:sz w:val="16"/>
                <w:szCs w:val="16"/>
              </w:rPr>
            </w:pPr>
            <w:r w:rsidRPr="006100CF">
              <w:rPr>
                <w:rFonts w:cs="Times New Roman"/>
                <w:color w:val="000000"/>
              </w:rPr>
              <w:t xml:space="preserve">  Personnel Analyst</w:t>
            </w:r>
          </w:p>
          <w:tbl>
            <w:tblPr>
              <w:tblStyle w:val="TableGrid"/>
              <w:tblW w:w="6187" w:type="dxa"/>
              <w:tblLayout w:type="fixed"/>
              <w:tblLook w:val="04A0" w:firstRow="1" w:lastRow="0" w:firstColumn="1" w:lastColumn="0" w:noHBand="0" w:noVBand="1"/>
            </w:tblPr>
            <w:tblGrid>
              <w:gridCol w:w="6187"/>
            </w:tblGrid>
            <w:tr w:rsidR="00E22876" w:rsidRPr="00FB3F3B" w:rsidTr="00E22876">
              <w:tc>
                <w:tcPr>
                  <w:tcW w:w="6187" w:type="dxa"/>
                  <w:shd w:val="clear" w:color="auto" w:fill="003399"/>
                </w:tcPr>
                <w:p w:rsidR="00E22876" w:rsidRPr="00FB3F3B" w:rsidRDefault="00DA1D35" w:rsidP="00E22876">
                  <w:pPr>
                    <w:rPr>
                      <w:rFonts w:asciiTheme="majorHAnsi" w:eastAsiaTheme="majorEastAsia" w:hAnsiTheme="majorHAnsi" w:cstheme="majorHAnsi"/>
                      <w:b/>
                      <w:sz w:val="22"/>
                      <w:szCs w:val="22"/>
                      <w:u w:val="single"/>
                    </w:rPr>
                  </w:pPr>
                  <w:r>
                    <w:rPr>
                      <w:b/>
                      <w:sz w:val="22"/>
                      <w:szCs w:val="22"/>
                      <w:u w:val="single"/>
                    </w:rPr>
                    <w:t>ANR Personnel Unit</w:t>
                  </w:r>
                </w:p>
              </w:tc>
            </w:tr>
          </w:tbl>
          <w:p w:rsidR="00DA1D35" w:rsidRPr="00DA1D35" w:rsidRDefault="00DA1D35" w:rsidP="00DA1D35">
            <w:pPr>
              <w:rPr>
                <w:rFonts w:asciiTheme="majorHAnsi" w:eastAsiaTheme="majorEastAsia" w:hAnsiTheme="majorHAnsi" w:cstheme="majorHAnsi"/>
                <w:b/>
                <w:color w:val="F1B305"/>
                <w:sz w:val="16"/>
                <w:szCs w:val="16"/>
              </w:rPr>
            </w:pPr>
          </w:p>
          <w:p w:rsidR="00DA1D35" w:rsidRDefault="00DA1D35" w:rsidP="00DA1D35">
            <w:pPr>
              <w:rPr>
                <w:rFonts w:asciiTheme="majorHAnsi" w:eastAsiaTheme="majorEastAsia" w:hAnsiTheme="majorHAnsi" w:cstheme="majorHAnsi"/>
                <w:b/>
                <w:color w:val="F1B305"/>
              </w:rPr>
            </w:pPr>
            <w:r w:rsidRPr="00B05460">
              <w:rPr>
                <w:rFonts w:asciiTheme="majorHAnsi" w:eastAsiaTheme="majorEastAsia" w:hAnsiTheme="majorHAnsi" w:cstheme="majorHAnsi"/>
                <w:b/>
                <w:color w:val="F1B305"/>
              </w:rPr>
              <w:t>A</w:t>
            </w:r>
          </w:p>
          <w:p w:rsidR="00DA1D35" w:rsidRDefault="00DA1D35" w:rsidP="00DA1D35">
            <w:pPr>
              <w:rPr>
                <w:rFonts w:asciiTheme="majorHAnsi" w:eastAsiaTheme="majorEastAsia" w:hAnsiTheme="majorHAnsi" w:cstheme="majorHAnsi"/>
                <w:b/>
                <w:color w:val="F1B305"/>
              </w:rPr>
            </w:pPr>
          </w:p>
          <w:p w:rsidR="00DA1D35" w:rsidRDefault="00DA1D35" w:rsidP="00DA1D35">
            <w:r>
              <w:t xml:space="preserve">The ANR Staff Personnel Unit is pleased to announce that Bethanie Brown has accepted the Analyst IV position with the Staff Personnel Unit.  Bethanie has served as an ANR SPU Analyst II since December 2010 and moved to her new position on May 21, 2012.  Bethanie can be reached at 530-752-5864 or </w:t>
            </w:r>
            <w:hyperlink r:id="rId16" w:history="1">
              <w:r w:rsidRPr="00981778">
                <w:rPr>
                  <w:rStyle w:val="Hyperlink"/>
                </w:rPr>
                <w:t>bhobart@ucdavis.edu</w:t>
              </w:r>
            </w:hyperlink>
            <w:r>
              <w:t>.  Congratulations Bethanie.</w:t>
            </w:r>
          </w:p>
          <w:p w:rsidR="00DA1D35" w:rsidRDefault="00DA1D35" w:rsidP="00DA1D35"/>
          <w:p w:rsidR="00DA1D35" w:rsidRPr="006A57AD" w:rsidRDefault="00DA1D35" w:rsidP="00DA1D35">
            <w:pPr>
              <w:jc w:val="right"/>
              <w:rPr>
                <w:rFonts w:cstheme="majorHAnsi"/>
                <w:sz w:val="22"/>
                <w:szCs w:val="22"/>
              </w:rPr>
            </w:pPr>
            <w:r w:rsidRPr="006A57AD">
              <w:rPr>
                <w:rFonts w:cstheme="majorHAnsi"/>
                <w:sz w:val="22"/>
                <w:szCs w:val="22"/>
              </w:rPr>
              <w:t>Linda Marie Manton</w:t>
            </w:r>
          </w:p>
          <w:p w:rsidR="00DA1D35" w:rsidRPr="00762616" w:rsidRDefault="00DA1D35" w:rsidP="00DA1D35">
            <w:pPr>
              <w:jc w:val="right"/>
              <w:rPr>
                <w:rFonts w:asciiTheme="majorHAnsi" w:eastAsiaTheme="majorEastAsia" w:hAnsiTheme="majorHAnsi" w:cstheme="majorHAnsi"/>
                <w:sz w:val="16"/>
                <w:szCs w:val="16"/>
              </w:rPr>
            </w:pPr>
            <w:r>
              <w:rPr>
                <w:rFonts w:cstheme="majorHAnsi"/>
                <w:sz w:val="22"/>
                <w:szCs w:val="22"/>
              </w:rPr>
              <w:t xml:space="preserve"> Executive Director</w:t>
            </w:r>
          </w:p>
          <w:p w:rsidR="00DA1D35" w:rsidRPr="00FB3F3B" w:rsidRDefault="00DA1D35" w:rsidP="00E22876">
            <w:pPr>
              <w:spacing w:after="200"/>
              <w:rPr>
                <w:rFonts w:asciiTheme="majorHAnsi" w:eastAsiaTheme="majorEastAsia" w:hAnsiTheme="majorHAnsi" w:cstheme="majorHAnsi"/>
                <w:b/>
                <w:sz w:val="22"/>
                <w:szCs w:val="22"/>
                <w:u w:val="single"/>
              </w:rPr>
            </w:pPr>
          </w:p>
          <w:p w:rsidR="00762616" w:rsidRPr="00FB3F3B" w:rsidRDefault="00762616" w:rsidP="00DB75A8">
            <w:pPr>
              <w:ind w:left="144" w:right="144"/>
              <w:rPr>
                <w:rFonts w:asciiTheme="majorHAnsi" w:hAnsiTheme="majorHAnsi" w:cstheme="majorHAnsi"/>
                <w:sz w:val="22"/>
                <w:szCs w:val="22"/>
              </w:rPr>
            </w:pPr>
          </w:p>
        </w:tc>
      </w:tr>
    </w:tbl>
    <w:p w:rsidR="007E14E1" w:rsidRPr="003119C2" w:rsidRDefault="007E14E1" w:rsidP="00C021FF">
      <w:pPr>
        <w:spacing w:after="240"/>
        <w:rPr>
          <w:rFonts w:eastAsiaTheme="majorEastAsia"/>
          <w:sz w:val="4"/>
          <w:szCs w:val="4"/>
        </w:rPr>
      </w:pPr>
    </w:p>
    <w:sectPr w:rsidR="007E14E1" w:rsidRPr="003119C2" w:rsidSect="00D16B2B">
      <w:headerReference w:type="first" r:id="rId17"/>
      <w:pgSz w:w="12240" w:h="15840"/>
      <w:pgMar w:top="720" w:right="1440" w:bottom="14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35" w:rsidRDefault="00DA1D35">
      <w:pPr>
        <w:spacing w:after="0"/>
      </w:pPr>
      <w:r>
        <w:separator/>
      </w:r>
    </w:p>
  </w:endnote>
  <w:endnote w:type="continuationSeparator" w:id="0">
    <w:p w:rsidR="00DA1D35" w:rsidRDefault="00DA1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35" w:rsidRDefault="00DA1D35">
      <w:pPr>
        <w:spacing w:after="0"/>
      </w:pPr>
      <w:r>
        <w:separator/>
      </w:r>
    </w:p>
  </w:footnote>
  <w:footnote w:type="continuationSeparator" w:id="0">
    <w:p w:rsidR="00DA1D35" w:rsidRDefault="00DA1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35" w:rsidRDefault="00DA1D35" w:rsidP="00806FF2">
    <w:pPr>
      <w:pStyle w:val="Header"/>
      <w:spacing w:before="240"/>
      <w:ind w:right="-187"/>
      <w:jc w:val="right"/>
      <w:rPr>
        <w:rFonts w:ascii="Verdana" w:hAnsi="Verdana"/>
        <w:b/>
        <w:noProof/>
        <w:color w:val="F79646" w:themeColor="accent6"/>
        <w:sz w:val="52"/>
      </w:rPr>
    </w:pPr>
    <w:r>
      <w:rPr>
        <w:rFonts w:ascii="Verdana" w:hAnsi="Verdana"/>
        <w:b/>
        <w:noProof/>
        <w:color w:val="F79646" w:themeColor="accent6"/>
        <w:sz w:val="52"/>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-523875</wp:posOffset>
          </wp:positionV>
          <wp:extent cx="7772400" cy="10058400"/>
          <wp:effectExtent l="0" t="0" r="0" b="0"/>
          <wp:wrapNone/>
          <wp:docPr id="2" name="Picture 2"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Pr>
        <w:rFonts w:ascii="Verdana" w:hAnsi="Verdana"/>
        <w:b/>
        <w:noProof/>
        <w:color w:val="F79646" w:themeColor="accent6"/>
        <w:sz w:val="52"/>
      </w:rPr>
      <w:t>Staff Personnel</w:t>
    </w:r>
  </w:p>
  <w:p w:rsidR="00DA1D35" w:rsidRPr="007928D1" w:rsidRDefault="00DA1D35" w:rsidP="00806FF2">
    <w:pPr>
      <w:pStyle w:val="Header"/>
      <w:ind w:right="-187"/>
      <w:jc w:val="right"/>
      <w:rPr>
        <w:rFonts w:ascii="Verdana" w:hAnsi="Verdana"/>
        <w:b/>
        <w:noProof/>
        <w:color w:val="F79646" w:themeColor="accent6"/>
        <w:sz w:val="52"/>
      </w:rPr>
    </w:pPr>
    <w:r>
      <w:rPr>
        <w:rFonts w:ascii="Verdana" w:hAnsi="Verdana"/>
        <w:b/>
        <w:noProof/>
        <w:color w:val="F79646" w:themeColor="accent6"/>
        <w:sz w:val="52"/>
      </w:rPr>
      <w:t>FAQ’s &amp; TIPS</w:t>
    </w:r>
  </w:p>
  <w:p w:rsidR="00DA1D35" w:rsidRPr="00B047A1" w:rsidRDefault="00DA1D35" w:rsidP="00806FF2">
    <w:pPr>
      <w:pStyle w:val="Header"/>
      <w:spacing w:before="360"/>
      <w:ind w:right="-187"/>
      <w:jc w:val="right"/>
      <w:rPr>
        <w:rFonts w:ascii="Verdana" w:hAnsi="Verdana"/>
        <w:b/>
        <w:color w:val="17365D" w:themeColor="text2" w:themeShade="BF"/>
        <w:sz w:val="16"/>
      </w:rPr>
    </w:pPr>
    <w:r w:rsidRPr="00B047A1">
      <w:rPr>
        <w:rFonts w:ascii="Verdana" w:hAnsi="Verdana"/>
        <w:b/>
        <w:color w:val="17365D" w:themeColor="text2" w:themeShade="BF"/>
        <w:sz w:val="16"/>
      </w:rPr>
      <w:t>vol.</w:t>
    </w:r>
    <w:r>
      <w:rPr>
        <w:rFonts w:ascii="Verdana" w:hAnsi="Verdana"/>
        <w:b/>
        <w:color w:val="17365D" w:themeColor="text2" w:themeShade="BF"/>
        <w:sz w:val="16"/>
      </w:rPr>
      <w:t xml:space="preserve"> 7</w:t>
    </w:r>
    <w:r w:rsidRPr="00B047A1">
      <w:rPr>
        <w:rFonts w:ascii="Verdana" w:hAnsi="Verdana"/>
        <w:b/>
        <w:color w:val="17365D" w:themeColor="text2" w:themeShade="BF"/>
        <w:sz w:val="16"/>
      </w:rPr>
      <w:t xml:space="preserve">, </w:t>
    </w:r>
    <w:r>
      <w:rPr>
        <w:rFonts w:ascii="Verdana" w:hAnsi="Verdana"/>
        <w:b/>
        <w:color w:val="17365D" w:themeColor="text2" w:themeShade="BF"/>
        <w:sz w:val="16"/>
      </w:rPr>
      <w:t>June 19</w:t>
    </w:r>
    <w:r w:rsidRPr="00B047A1">
      <w:rPr>
        <w:rFonts w:ascii="Verdana" w:hAnsi="Verdana"/>
        <w:b/>
        <w:color w:val="17365D" w:themeColor="text2" w:themeShade="BF"/>
        <w:sz w:val="16"/>
      </w:rPr>
      <w:t xml:space="preserve">, </w:t>
    </w:r>
    <w:r>
      <w:rPr>
        <w:rFonts w:ascii="Verdana" w:hAnsi="Verdana"/>
        <w:b/>
        <w:color w:val="17365D" w:themeColor="text2" w:themeShade="BF"/>
        <w:sz w:val="16"/>
      </w:rPr>
      <w:t>2012</w:t>
    </w:r>
  </w:p>
  <w:p w:rsidR="00DA1D35" w:rsidRDefault="00DA1D35" w:rsidP="007E14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F4E"/>
    <w:multiLevelType w:val="hybridMultilevel"/>
    <w:tmpl w:val="3852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712A75"/>
    <w:multiLevelType w:val="hybridMultilevel"/>
    <w:tmpl w:val="27D0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9"/>
    <w:rsid w:val="0007764D"/>
    <w:rsid w:val="000E5DE3"/>
    <w:rsid w:val="00185DBC"/>
    <w:rsid w:val="002453B6"/>
    <w:rsid w:val="003119C2"/>
    <w:rsid w:val="00352044"/>
    <w:rsid w:val="00456D21"/>
    <w:rsid w:val="00481EE1"/>
    <w:rsid w:val="004C2F4A"/>
    <w:rsid w:val="004C5C60"/>
    <w:rsid w:val="005047B6"/>
    <w:rsid w:val="00511986"/>
    <w:rsid w:val="0055760E"/>
    <w:rsid w:val="006100CF"/>
    <w:rsid w:val="006E0D82"/>
    <w:rsid w:val="007248CE"/>
    <w:rsid w:val="00762616"/>
    <w:rsid w:val="007B1668"/>
    <w:rsid w:val="007E14E1"/>
    <w:rsid w:val="007F53AA"/>
    <w:rsid w:val="00806FF2"/>
    <w:rsid w:val="0083078B"/>
    <w:rsid w:val="00834C9F"/>
    <w:rsid w:val="008B47D7"/>
    <w:rsid w:val="008C43C8"/>
    <w:rsid w:val="008E027B"/>
    <w:rsid w:val="008F275F"/>
    <w:rsid w:val="00971B31"/>
    <w:rsid w:val="009A0EBE"/>
    <w:rsid w:val="009C1879"/>
    <w:rsid w:val="00A375A9"/>
    <w:rsid w:val="00A63623"/>
    <w:rsid w:val="00B05460"/>
    <w:rsid w:val="00B857E4"/>
    <w:rsid w:val="00BD5C17"/>
    <w:rsid w:val="00C021FF"/>
    <w:rsid w:val="00C10750"/>
    <w:rsid w:val="00C85651"/>
    <w:rsid w:val="00C85918"/>
    <w:rsid w:val="00CA6349"/>
    <w:rsid w:val="00D16B2B"/>
    <w:rsid w:val="00D37518"/>
    <w:rsid w:val="00D83CF2"/>
    <w:rsid w:val="00DA1D35"/>
    <w:rsid w:val="00DB75A8"/>
    <w:rsid w:val="00E22876"/>
    <w:rsid w:val="00E74E25"/>
    <w:rsid w:val="00E81564"/>
    <w:rsid w:val="00FB3F3B"/>
    <w:rsid w:val="00FE46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316">
      <w:bodyDiv w:val="1"/>
      <w:marLeft w:val="0"/>
      <w:marRight w:val="0"/>
      <w:marTop w:val="0"/>
      <w:marBottom w:val="0"/>
      <w:divBdr>
        <w:top w:val="none" w:sz="0" w:space="0" w:color="auto"/>
        <w:left w:val="none" w:sz="0" w:space="0" w:color="auto"/>
        <w:bottom w:val="none" w:sz="0" w:space="0" w:color="auto"/>
        <w:right w:val="none" w:sz="0" w:space="0" w:color="auto"/>
      </w:divBdr>
    </w:div>
    <w:div w:id="378552963">
      <w:bodyDiv w:val="1"/>
      <w:marLeft w:val="0"/>
      <w:marRight w:val="0"/>
      <w:marTop w:val="0"/>
      <w:marBottom w:val="0"/>
      <w:divBdr>
        <w:top w:val="none" w:sz="0" w:space="0" w:color="auto"/>
        <w:left w:val="none" w:sz="0" w:space="0" w:color="auto"/>
        <w:bottom w:val="none" w:sz="0" w:space="0" w:color="auto"/>
        <w:right w:val="none" w:sz="0" w:space="0" w:color="auto"/>
      </w:divBdr>
    </w:div>
    <w:div w:id="452677378">
      <w:bodyDiv w:val="1"/>
      <w:marLeft w:val="0"/>
      <w:marRight w:val="0"/>
      <w:marTop w:val="0"/>
      <w:marBottom w:val="0"/>
      <w:divBdr>
        <w:top w:val="none" w:sz="0" w:space="0" w:color="auto"/>
        <w:left w:val="none" w:sz="0" w:space="0" w:color="auto"/>
        <w:bottom w:val="none" w:sz="0" w:space="0" w:color="auto"/>
        <w:right w:val="none" w:sz="0" w:space="0" w:color="auto"/>
      </w:divBdr>
    </w:div>
    <w:div w:id="859121839">
      <w:bodyDiv w:val="1"/>
      <w:marLeft w:val="0"/>
      <w:marRight w:val="0"/>
      <w:marTop w:val="0"/>
      <w:marBottom w:val="0"/>
      <w:divBdr>
        <w:top w:val="none" w:sz="0" w:space="0" w:color="auto"/>
        <w:left w:val="none" w:sz="0" w:space="0" w:color="auto"/>
        <w:bottom w:val="none" w:sz="0" w:space="0" w:color="auto"/>
        <w:right w:val="none" w:sz="0" w:space="0" w:color="auto"/>
      </w:divBdr>
    </w:div>
    <w:div w:id="1016535615">
      <w:bodyDiv w:val="1"/>
      <w:marLeft w:val="0"/>
      <w:marRight w:val="0"/>
      <w:marTop w:val="0"/>
      <w:marBottom w:val="0"/>
      <w:divBdr>
        <w:top w:val="none" w:sz="0" w:space="0" w:color="auto"/>
        <w:left w:val="none" w:sz="0" w:space="0" w:color="auto"/>
        <w:bottom w:val="none" w:sz="0" w:space="0" w:color="auto"/>
        <w:right w:val="none" w:sz="0" w:space="0" w:color="auto"/>
      </w:divBdr>
    </w:div>
    <w:div w:id="1112701694">
      <w:bodyDiv w:val="1"/>
      <w:marLeft w:val="0"/>
      <w:marRight w:val="0"/>
      <w:marTop w:val="0"/>
      <w:marBottom w:val="0"/>
      <w:divBdr>
        <w:top w:val="none" w:sz="0" w:space="0" w:color="auto"/>
        <w:left w:val="none" w:sz="0" w:space="0" w:color="auto"/>
        <w:bottom w:val="none" w:sz="0" w:space="0" w:color="auto"/>
        <w:right w:val="none" w:sz="0" w:space="0" w:color="auto"/>
      </w:divBdr>
    </w:div>
    <w:div w:id="1128165078">
      <w:bodyDiv w:val="1"/>
      <w:marLeft w:val="0"/>
      <w:marRight w:val="0"/>
      <w:marTop w:val="0"/>
      <w:marBottom w:val="0"/>
      <w:divBdr>
        <w:top w:val="none" w:sz="0" w:space="0" w:color="auto"/>
        <w:left w:val="none" w:sz="0" w:space="0" w:color="auto"/>
        <w:bottom w:val="none" w:sz="0" w:space="0" w:color="auto"/>
        <w:right w:val="none" w:sz="0" w:space="0" w:color="auto"/>
      </w:divBdr>
    </w:div>
    <w:div w:id="1717580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ucdavis.edu/benef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rstaffpersonnel@ucdavis.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hobart@ucdavi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rstaffpersonnel@ucdavis.edu" TargetMode="External"/><Relationship Id="rId5" Type="http://schemas.openxmlformats.org/officeDocument/2006/relationships/settings" Target="settings.xml"/><Relationship Id="rId15" Type="http://schemas.openxmlformats.org/officeDocument/2006/relationships/hyperlink" Target="mailto:anrstaffpersonnel@ucdavis.edu" TargetMode="External"/><Relationship Id="rId10" Type="http://schemas.openxmlformats.org/officeDocument/2006/relationships/hyperlink" Target="http://ucanr.org/sites/anrstaff/Administration/Business_Operations/Staff_Personne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canr.org/sites/anrstaff/Administration/Business_Operations/Staff_Personnel/" TargetMode="External"/><Relationship Id="rId14" Type="http://schemas.openxmlformats.org/officeDocument/2006/relationships/hyperlink" Target="http://ucanr.org/sites/anrstaff/files/121719.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D203-2221-43DB-982B-A3F7CE45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jmichell</dc:creator>
  <cp:lastModifiedBy>Jennifer K Plowman</cp:lastModifiedBy>
  <cp:revision>4</cp:revision>
  <cp:lastPrinted>2011-08-11T15:02:00Z</cp:lastPrinted>
  <dcterms:created xsi:type="dcterms:W3CDTF">2012-04-19T17:28:00Z</dcterms:created>
  <dcterms:modified xsi:type="dcterms:W3CDTF">2012-06-21T22:53:00Z</dcterms:modified>
</cp:coreProperties>
</file>