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ECE23" w14:textId="23A72003" w:rsidR="005641A5" w:rsidRPr="005641A5" w:rsidRDefault="005641A5" w:rsidP="00ED447C">
      <w:pPr>
        <w:spacing w:after="0"/>
        <w:jc w:val="center"/>
        <w:rPr>
          <w:sz w:val="32"/>
          <w:szCs w:val="32"/>
        </w:rPr>
      </w:pPr>
      <w:r w:rsidRPr="005641A5">
        <w:rPr>
          <w:sz w:val="32"/>
          <w:szCs w:val="32"/>
        </w:rPr>
        <w:t xml:space="preserve">UC </w:t>
      </w:r>
      <w:r w:rsidR="00A94D7D">
        <w:rPr>
          <w:sz w:val="32"/>
          <w:szCs w:val="32"/>
        </w:rPr>
        <w:t>ANR Condition Change</w:t>
      </w:r>
      <w:r w:rsidR="0058373C">
        <w:rPr>
          <w:sz w:val="32"/>
          <w:szCs w:val="32"/>
        </w:rPr>
        <w:t xml:space="preserve"> FTE</w:t>
      </w:r>
      <w:r w:rsidR="00A94D7D">
        <w:rPr>
          <w:sz w:val="32"/>
          <w:szCs w:val="32"/>
        </w:rPr>
        <w:t xml:space="preserve"> </w:t>
      </w:r>
      <w:r w:rsidR="00644758">
        <w:rPr>
          <w:sz w:val="32"/>
          <w:szCs w:val="32"/>
        </w:rPr>
        <w:t xml:space="preserve">via </w:t>
      </w:r>
      <w:r w:rsidR="00495365">
        <w:rPr>
          <w:sz w:val="32"/>
          <w:szCs w:val="32"/>
        </w:rPr>
        <w:t>Project Board</w:t>
      </w:r>
    </w:p>
    <w:p w14:paraId="0FFC26CF" w14:textId="2B38E0C7" w:rsidR="00A76534" w:rsidRDefault="00D14A4A" w:rsidP="00164785">
      <w:pPr>
        <w:spacing w:after="0" w:line="240" w:lineRule="auto"/>
      </w:pPr>
      <w:r>
        <w:t xml:space="preserve">In </w:t>
      </w:r>
      <w:r w:rsidR="0091486F" w:rsidRPr="00D14A4A">
        <w:rPr>
          <w:u w:val="single"/>
        </w:rPr>
        <w:t>October 2018</w:t>
      </w:r>
      <w:r w:rsidR="0091486F" w:rsidRPr="0078782D">
        <w:t xml:space="preserve">, UC ANR </w:t>
      </w:r>
      <w:r>
        <w:t>collected data by asking</w:t>
      </w:r>
      <w:r w:rsidR="0091486F" w:rsidRPr="0078782D">
        <w:t xml:space="preserve"> </w:t>
      </w:r>
      <w:r w:rsidR="00FE47E1" w:rsidRPr="0078782D">
        <w:t>C</w:t>
      </w:r>
      <w:r w:rsidR="00DE7A5D" w:rsidRPr="0078782D">
        <w:t xml:space="preserve">ooperative </w:t>
      </w:r>
      <w:r w:rsidR="00FE47E1" w:rsidRPr="0078782D">
        <w:t>E</w:t>
      </w:r>
      <w:r w:rsidR="00DE7A5D" w:rsidRPr="0078782D">
        <w:t>xtension (CE)</w:t>
      </w:r>
      <w:r w:rsidR="00FE47E1" w:rsidRPr="0078782D">
        <w:t xml:space="preserve"> Advisors, CE Academic Coordinator</w:t>
      </w:r>
      <w:r w:rsidR="00A94D7D" w:rsidRPr="0078782D">
        <w:t>s</w:t>
      </w:r>
      <w:r w:rsidR="00FE47E1" w:rsidRPr="0078782D">
        <w:t xml:space="preserve"> and Administ</w:t>
      </w:r>
      <w:r w:rsidR="00A94D7D" w:rsidRPr="0078782D">
        <w:t xml:space="preserve">rators, CE Specialists, and </w:t>
      </w:r>
      <w:r w:rsidR="00FE47E1" w:rsidRPr="0078782D">
        <w:t xml:space="preserve">other academics </w:t>
      </w:r>
      <w:r w:rsidR="0091486F" w:rsidRPr="0078782D">
        <w:t>to report</w:t>
      </w:r>
      <w:r w:rsidR="00FE47E1" w:rsidRPr="0078782D">
        <w:t xml:space="preserve"> </w:t>
      </w:r>
      <w:r w:rsidR="00DE7A5D" w:rsidRPr="0078782D">
        <w:t xml:space="preserve">into Project Board </w:t>
      </w:r>
      <w:r w:rsidR="00FE47E1" w:rsidRPr="0078782D">
        <w:t>their full time equivalent (FTE) work towards UC ANR c</w:t>
      </w:r>
      <w:r w:rsidR="002C6BE9" w:rsidRPr="0078782D">
        <w:t xml:space="preserve">ondition changes for the </w:t>
      </w:r>
      <w:r w:rsidR="002C6BE9" w:rsidRPr="00D14A4A">
        <w:rPr>
          <w:u w:val="single"/>
        </w:rPr>
        <w:t xml:space="preserve">state fiscal year </w:t>
      </w:r>
      <w:r w:rsidR="00876C05">
        <w:rPr>
          <w:u w:val="single"/>
        </w:rPr>
        <w:t>2017-</w:t>
      </w:r>
      <w:r w:rsidR="002C6BE9" w:rsidRPr="00D14A4A">
        <w:rPr>
          <w:u w:val="single"/>
        </w:rPr>
        <w:t>2018 (7/1/17-6/30/18</w:t>
      </w:r>
      <w:r w:rsidR="00FE47E1" w:rsidRPr="00D14A4A">
        <w:rPr>
          <w:u w:val="single"/>
        </w:rPr>
        <w:t>)</w:t>
      </w:r>
      <w:r w:rsidR="00FE47E1" w:rsidRPr="0078782D">
        <w:t xml:space="preserve">. </w:t>
      </w:r>
      <w:r w:rsidR="0091486F" w:rsidRPr="0078782D">
        <w:t>This e</w:t>
      </w:r>
      <w:bookmarkStart w:id="0" w:name="_GoBack"/>
      <w:bookmarkEnd w:id="0"/>
      <w:r w:rsidR="0091486F" w:rsidRPr="0078782D">
        <w:t>ffort was</w:t>
      </w:r>
      <w:r w:rsidR="00DE7A5D" w:rsidRPr="0078782D">
        <w:t xml:space="preserve"> undertaken</w:t>
      </w:r>
      <w:r w:rsidR="0091486F" w:rsidRPr="0078782D">
        <w:t xml:space="preserve"> in order to unders</w:t>
      </w:r>
      <w:r w:rsidR="00DE7A5D" w:rsidRPr="0078782D">
        <w:t>tand how CE</w:t>
      </w:r>
      <w:r w:rsidR="0091486F" w:rsidRPr="0078782D">
        <w:t xml:space="preserve"> academics’ efforts contribute toward condition changes, enabling us to measure and better articulate how we impact California. </w:t>
      </w:r>
      <w:r w:rsidR="00FB33A1" w:rsidRPr="00FB33A1">
        <w:t>There are approximately 325</w:t>
      </w:r>
      <w:r w:rsidR="00993C76" w:rsidRPr="00FB33A1">
        <w:t xml:space="preserve"> </w:t>
      </w:r>
      <w:r w:rsidR="00FB33A1" w:rsidRPr="00FB33A1">
        <w:t>CE academics</w:t>
      </w:r>
      <w:r w:rsidR="00993C76" w:rsidRPr="00FB33A1">
        <w:t xml:space="preserve"> in Project Board</w:t>
      </w:r>
      <w:r w:rsidR="0091486F" w:rsidRPr="00FB33A1">
        <w:t xml:space="preserve">. A total of </w:t>
      </w:r>
      <w:r w:rsidR="00FB33A1" w:rsidRPr="00FB33A1">
        <w:t>269</w:t>
      </w:r>
      <w:r w:rsidR="005B6BAB" w:rsidRPr="00FB33A1">
        <w:t xml:space="preserve"> Project Board </w:t>
      </w:r>
      <w:r w:rsidR="00FE47E1" w:rsidRPr="00FB33A1">
        <w:t>responses were collected</w:t>
      </w:r>
      <w:r w:rsidR="00495365" w:rsidRPr="00FB33A1">
        <w:t>, which is a response rate of 83</w:t>
      </w:r>
      <w:r w:rsidR="00FE47E1" w:rsidRPr="00FB33A1">
        <w:t>%.</w:t>
      </w:r>
      <w:r w:rsidR="00FE47E1">
        <w:t xml:space="preserve"> </w:t>
      </w:r>
    </w:p>
    <w:p w14:paraId="65C5C815" w14:textId="413D69FD" w:rsidR="008D085A" w:rsidRPr="00AA2AE3" w:rsidRDefault="008D085A" w:rsidP="00ED447C">
      <w:pPr>
        <w:spacing w:after="0" w:line="240" w:lineRule="auto"/>
        <w:rPr>
          <w:rFonts w:cstheme="minorHAnsi"/>
          <w:b/>
          <w:sz w:val="24"/>
          <w:szCs w:val="32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8260"/>
        <w:gridCol w:w="1260"/>
        <w:gridCol w:w="1185"/>
      </w:tblGrid>
      <w:tr w:rsidR="008D085A" w:rsidRPr="00AA2AE3" w14:paraId="68DEB30B" w14:textId="77777777" w:rsidTr="00AA2AE3">
        <w:trPr>
          <w:trHeight w:val="300"/>
        </w:trPr>
        <w:tc>
          <w:tcPr>
            <w:tcW w:w="8260" w:type="dxa"/>
            <w:noWrap/>
          </w:tcPr>
          <w:p w14:paraId="6F99BA0C" w14:textId="77777777" w:rsidR="008D085A" w:rsidRPr="00AA2AE3" w:rsidRDefault="008D085A" w:rsidP="00ED447C">
            <w:pPr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  <w:r w:rsidRPr="00AA2AE3">
              <w:rPr>
                <w:rFonts w:ascii="Calibri" w:eastAsia="Times New Roman" w:hAnsi="Calibri" w:cs="Calibri"/>
                <w:b/>
                <w:color w:val="000000"/>
                <w:sz w:val="28"/>
              </w:rPr>
              <w:t>Condition Changes Grouped by Public Value Statement</w:t>
            </w:r>
          </w:p>
        </w:tc>
        <w:tc>
          <w:tcPr>
            <w:tcW w:w="1260" w:type="dxa"/>
            <w:noWrap/>
          </w:tcPr>
          <w:p w14:paraId="77835831" w14:textId="77777777" w:rsidR="008D085A" w:rsidRPr="00AA2AE3" w:rsidRDefault="008D085A" w:rsidP="00ED447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  <w:r w:rsidRPr="00AA2AE3">
              <w:rPr>
                <w:rFonts w:ascii="Calibri" w:eastAsia="Times New Roman" w:hAnsi="Calibri" w:cs="Calibri"/>
                <w:b/>
                <w:color w:val="000000"/>
                <w:sz w:val="28"/>
              </w:rPr>
              <w:t>FTE</w:t>
            </w:r>
          </w:p>
        </w:tc>
        <w:tc>
          <w:tcPr>
            <w:tcW w:w="1185" w:type="dxa"/>
            <w:noWrap/>
          </w:tcPr>
          <w:p w14:paraId="04DB3721" w14:textId="77777777" w:rsidR="008D085A" w:rsidRPr="00AA2AE3" w:rsidRDefault="008D085A" w:rsidP="00ED447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  <w:r w:rsidRPr="00AA2AE3">
              <w:rPr>
                <w:rFonts w:ascii="Calibri" w:eastAsia="Times New Roman" w:hAnsi="Calibri" w:cs="Calibri"/>
                <w:b/>
                <w:color w:val="000000"/>
                <w:sz w:val="28"/>
              </w:rPr>
              <w:t>% effort</w:t>
            </w:r>
          </w:p>
        </w:tc>
      </w:tr>
      <w:tr w:rsidR="008D085A" w:rsidRPr="008D085A" w14:paraId="2ED5D45D" w14:textId="77777777" w:rsidTr="00AA2AE3">
        <w:trPr>
          <w:trHeight w:val="300"/>
        </w:trPr>
        <w:tc>
          <w:tcPr>
            <w:tcW w:w="8260" w:type="dxa"/>
            <w:shd w:val="clear" w:color="auto" w:fill="D6E3BC" w:themeFill="accent3" w:themeFillTint="66"/>
            <w:noWrap/>
            <w:hideMark/>
          </w:tcPr>
          <w:p w14:paraId="4287A6D4" w14:textId="77777777" w:rsidR="008D085A" w:rsidRPr="008D085A" w:rsidRDefault="008D085A" w:rsidP="00ED447C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8D085A">
              <w:rPr>
                <w:rFonts w:ascii="Calibri" w:eastAsia="Times New Roman" w:hAnsi="Calibri" w:cs="Calibri"/>
                <w:b/>
                <w:color w:val="000000"/>
              </w:rPr>
              <w:t>UC ANR: Promoting economic prosperity in California</w:t>
            </w:r>
          </w:p>
        </w:tc>
        <w:tc>
          <w:tcPr>
            <w:tcW w:w="1260" w:type="dxa"/>
            <w:shd w:val="clear" w:color="auto" w:fill="D6E3BC" w:themeFill="accent3" w:themeFillTint="66"/>
            <w:noWrap/>
          </w:tcPr>
          <w:p w14:paraId="6917FA31" w14:textId="034943F9" w:rsidR="008D085A" w:rsidRPr="008D085A" w:rsidRDefault="00BD4E90" w:rsidP="00ED447C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68.20</w:t>
            </w:r>
          </w:p>
        </w:tc>
        <w:tc>
          <w:tcPr>
            <w:tcW w:w="1185" w:type="dxa"/>
            <w:shd w:val="clear" w:color="auto" w:fill="D6E3BC" w:themeFill="accent3" w:themeFillTint="66"/>
            <w:noWrap/>
          </w:tcPr>
          <w:p w14:paraId="57E60836" w14:textId="59BBCD6A" w:rsidR="008D085A" w:rsidRPr="008D085A" w:rsidRDefault="00B94758" w:rsidP="00ED447C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94758">
              <w:rPr>
                <w:rFonts w:ascii="Calibri" w:eastAsia="Times New Roman" w:hAnsi="Calibri" w:cs="Calibri"/>
                <w:b/>
                <w:color w:val="000000"/>
              </w:rPr>
              <w:t>26.7%</w:t>
            </w:r>
          </w:p>
        </w:tc>
      </w:tr>
      <w:tr w:rsidR="00B94758" w:rsidRPr="008D085A" w14:paraId="05CFB521" w14:textId="77777777" w:rsidTr="00AA2AE3">
        <w:trPr>
          <w:trHeight w:val="300"/>
        </w:trPr>
        <w:tc>
          <w:tcPr>
            <w:tcW w:w="8260" w:type="dxa"/>
            <w:noWrap/>
            <w:hideMark/>
          </w:tcPr>
          <w:p w14:paraId="5C40B7F8" w14:textId="481A9702" w:rsidR="00B94758" w:rsidRPr="008D085A" w:rsidRDefault="00B94758" w:rsidP="00B94758">
            <w:pPr>
              <w:rPr>
                <w:rFonts w:ascii="Calibri" w:eastAsia="Times New Roman" w:hAnsi="Calibri" w:cs="Calibri"/>
                <w:color w:val="000000"/>
              </w:rPr>
            </w:pPr>
            <w:r w:rsidRPr="005567E6">
              <w:t>Increased agriculture and forestry efficiency and profitability</w:t>
            </w:r>
          </w:p>
        </w:tc>
        <w:tc>
          <w:tcPr>
            <w:tcW w:w="1260" w:type="dxa"/>
            <w:noWrap/>
            <w:hideMark/>
          </w:tcPr>
          <w:p w14:paraId="39DE8A2C" w14:textId="16CD7AA3" w:rsidR="00B94758" w:rsidRPr="00AF6355" w:rsidRDefault="00B94758" w:rsidP="00B9475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D81E1D">
              <w:t>49.88</w:t>
            </w:r>
          </w:p>
        </w:tc>
        <w:tc>
          <w:tcPr>
            <w:tcW w:w="1185" w:type="dxa"/>
            <w:noWrap/>
            <w:vAlign w:val="bottom"/>
            <w:hideMark/>
          </w:tcPr>
          <w:p w14:paraId="29679519" w14:textId="7A35EA08" w:rsidR="00B94758" w:rsidRPr="00AF6355" w:rsidRDefault="00B94758" w:rsidP="00B9475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19.5%</w:t>
            </w:r>
          </w:p>
        </w:tc>
      </w:tr>
      <w:tr w:rsidR="00B94758" w:rsidRPr="008D085A" w14:paraId="1E0334C2" w14:textId="77777777" w:rsidTr="00AA2AE3">
        <w:trPr>
          <w:trHeight w:val="300"/>
        </w:trPr>
        <w:tc>
          <w:tcPr>
            <w:tcW w:w="8260" w:type="dxa"/>
            <w:noWrap/>
            <w:hideMark/>
          </w:tcPr>
          <w:p w14:paraId="0C646CB0" w14:textId="26B23A7A" w:rsidR="00B94758" w:rsidRPr="008D085A" w:rsidRDefault="00B94758" w:rsidP="00B94758">
            <w:pPr>
              <w:rPr>
                <w:rFonts w:ascii="Calibri" w:eastAsia="Times New Roman" w:hAnsi="Calibri" w:cs="Calibri"/>
                <w:color w:val="000000"/>
              </w:rPr>
            </w:pPr>
            <w:r w:rsidRPr="005567E6">
              <w:t>Improved animal management, productivity and efficiency</w:t>
            </w:r>
          </w:p>
        </w:tc>
        <w:tc>
          <w:tcPr>
            <w:tcW w:w="1260" w:type="dxa"/>
            <w:noWrap/>
            <w:hideMark/>
          </w:tcPr>
          <w:p w14:paraId="03AA4A2C" w14:textId="1E965643" w:rsidR="00B94758" w:rsidRPr="00AF6355" w:rsidRDefault="00B94758" w:rsidP="00B9475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D81E1D">
              <w:t>11.49</w:t>
            </w:r>
          </w:p>
        </w:tc>
        <w:tc>
          <w:tcPr>
            <w:tcW w:w="1185" w:type="dxa"/>
            <w:noWrap/>
            <w:vAlign w:val="bottom"/>
            <w:hideMark/>
          </w:tcPr>
          <w:p w14:paraId="36EC303C" w14:textId="6221AD82" w:rsidR="00B94758" w:rsidRPr="00AF6355" w:rsidRDefault="00B94758" w:rsidP="00B9475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4.5%</w:t>
            </w:r>
          </w:p>
        </w:tc>
      </w:tr>
      <w:tr w:rsidR="00B94758" w:rsidRPr="008D085A" w14:paraId="7A633EA7" w14:textId="77777777" w:rsidTr="00AA2AE3">
        <w:trPr>
          <w:trHeight w:val="300"/>
        </w:trPr>
        <w:tc>
          <w:tcPr>
            <w:tcW w:w="8260" w:type="dxa"/>
            <w:noWrap/>
            <w:hideMark/>
          </w:tcPr>
          <w:p w14:paraId="7C0BAA79" w14:textId="1E7A1AB0" w:rsidR="00B94758" w:rsidRPr="008D085A" w:rsidRDefault="00B94758" w:rsidP="00B94758">
            <w:pPr>
              <w:rPr>
                <w:rFonts w:ascii="Calibri" w:eastAsia="Times New Roman" w:hAnsi="Calibri" w:cs="Calibri"/>
                <w:color w:val="000000"/>
              </w:rPr>
            </w:pPr>
            <w:r w:rsidRPr="005567E6">
              <w:t>Enhanced community economic development</w:t>
            </w:r>
          </w:p>
        </w:tc>
        <w:tc>
          <w:tcPr>
            <w:tcW w:w="1260" w:type="dxa"/>
            <w:noWrap/>
            <w:hideMark/>
          </w:tcPr>
          <w:p w14:paraId="6697E668" w14:textId="01ECA599" w:rsidR="00B94758" w:rsidRPr="00AF6355" w:rsidRDefault="00B94758" w:rsidP="00B9475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D81E1D">
              <w:t>4.55</w:t>
            </w:r>
          </w:p>
        </w:tc>
        <w:tc>
          <w:tcPr>
            <w:tcW w:w="1185" w:type="dxa"/>
            <w:noWrap/>
            <w:vAlign w:val="bottom"/>
            <w:hideMark/>
          </w:tcPr>
          <w:p w14:paraId="6C6F06C2" w14:textId="3FA73307" w:rsidR="00B94758" w:rsidRPr="00AF6355" w:rsidRDefault="00B94758" w:rsidP="00B9475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1.8%</w:t>
            </w:r>
          </w:p>
        </w:tc>
      </w:tr>
      <w:tr w:rsidR="00B94758" w:rsidRPr="008D085A" w14:paraId="7271D1AD" w14:textId="77777777" w:rsidTr="00AA2AE3">
        <w:trPr>
          <w:trHeight w:val="300"/>
        </w:trPr>
        <w:tc>
          <w:tcPr>
            <w:tcW w:w="8260" w:type="dxa"/>
            <w:noWrap/>
            <w:hideMark/>
          </w:tcPr>
          <w:p w14:paraId="4C678860" w14:textId="4D5E8689" w:rsidR="00B94758" w:rsidRPr="008D085A" w:rsidRDefault="00B94758" w:rsidP="00B94758">
            <w:pPr>
              <w:rPr>
                <w:rFonts w:ascii="Calibri" w:eastAsia="Times New Roman" w:hAnsi="Calibri" w:cs="Calibri"/>
                <w:color w:val="000000"/>
              </w:rPr>
            </w:pPr>
            <w:r w:rsidRPr="005567E6">
              <w:t>Increased emerging food economies and markets</w:t>
            </w:r>
          </w:p>
        </w:tc>
        <w:tc>
          <w:tcPr>
            <w:tcW w:w="1260" w:type="dxa"/>
            <w:noWrap/>
            <w:hideMark/>
          </w:tcPr>
          <w:p w14:paraId="3AE7A085" w14:textId="12407540" w:rsidR="00B94758" w:rsidRPr="00AF6355" w:rsidRDefault="00B94758" w:rsidP="00B9475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D81E1D">
              <w:t>1.23</w:t>
            </w:r>
          </w:p>
        </w:tc>
        <w:tc>
          <w:tcPr>
            <w:tcW w:w="1185" w:type="dxa"/>
            <w:noWrap/>
            <w:vAlign w:val="bottom"/>
            <w:hideMark/>
          </w:tcPr>
          <w:p w14:paraId="6305D965" w14:textId="74C77677" w:rsidR="00B94758" w:rsidRPr="00AF6355" w:rsidRDefault="00B94758" w:rsidP="00B9475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0.5%</w:t>
            </w:r>
          </w:p>
        </w:tc>
      </w:tr>
      <w:tr w:rsidR="00B94758" w:rsidRPr="008D085A" w14:paraId="1CCFC578" w14:textId="77777777" w:rsidTr="00AA2AE3">
        <w:trPr>
          <w:trHeight w:val="300"/>
        </w:trPr>
        <w:tc>
          <w:tcPr>
            <w:tcW w:w="8260" w:type="dxa"/>
            <w:noWrap/>
            <w:hideMark/>
          </w:tcPr>
          <w:p w14:paraId="1385DFD3" w14:textId="3E5C233D" w:rsidR="00B94758" w:rsidRPr="008D085A" w:rsidRDefault="00B94758" w:rsidP="00B94758">
            <w:pPr>
              <w:rPr>
                <w:rFonts w:ascii="Calibri" w:eastAsia="Times New Roman" w:hAnsi="Calibri" w:cs="Calibri"/>
                <w:color w:val="000000"/>
              </w:rPr>
            </w:pPr>
            <w:r w:rsidRPr="005567E6">
              <w:t>Improved individual and household financial stability</w:t>
            </w:r>
          </w:p>
        </w:tc>
        <w:tc>
          <w:tcPr>
            <w:tcW w:w="1260" w:type="dxa"/>
            <w:noWrap/>
            <w:hideMark/>
          </w:tcPr>
          <w:p w14:paraId="11E84C71" w14:textId="78E3DD19" w:rsidR="00B94758" w:rsidRPr="00AF6355" w:rsidRDefault="00B94758" w:rsidP="00B9475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D81E1D">
              <w:t>1.05</w:t>
            </w:r>
          </w:p>
        </w:tc>
        <w:tc>
          <w:tcPr>
            <w:tcW w:w="1185" w:type="dxa"/>
            <w:noWrap/>
            <w:vAlign w:val="bottom"/>
            <w:hideMark/>
          </w:tcPr>
          <w:p w14:paraId="17C933AA" w14:textId="023EA264" w:rsidR="00B94758" w:rsidRPr="00AF6355" w:rsidRDefault="00B94758" w:rsidP="00B9475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0.4%</w:t>
            </w:r>
          </w:p>
        </w:tc>
      </w:tr>
      <w:tr w:rsidR="008D085A" w:rsidRPr="008D085A" w14:paraId="716C168C" w14:textId="77777777" w:rsidTr="00AA2AE3">
        <w:trPr>
          <w:trHeight w:val="300"/>
        </w:trPr>
        <w:tc>
          <w:tcPr>
            <w:tcW w:w="8260" w:type="dxa"/>
            <w:shd w:val="clear" w:color="auto" w:fill="D6E3BC" w:themeFill="accent3" w:themeFillTint="66"/>
            <w:noWrap/>
            <w:hideMark/>
          </w:tcPr>
          <w:p w14:paraId="69D755B9" w14:textId="77777777" w:rsidR="008D085A" w:rsidRPr="008D085A" w:rsidRDefault="008D085A" w:rsidP="00ED447C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8D085A">
              <w:rPr>
                <w:rFonts w:ascii="Calibri" w:eastAsia="Times New Roman" w:hAnsi="Calibri" w:cs="Calibri"/>
                <w:b/>
                <w:color w:val="000000"/>
              </w:rPr>
              <w:t>UC ANR: Safeguarding sufficient, safe, and healthy food for all Californians</w:t>
            </w:r>
          </w:p>
        </w:tc>
        <w:tc>
          <w:tcPr>
            <w:tcW w:w="1260" w:type="dxa"/>
            <w:shd w:val="clear" w:color="auto" w:fill="D6E3BC" w:themeFill="accent3" w:themeFillTint="66"/>
            <w:noWrap/>
            <w:hideMark/>
          </w:tcPr>
          <w:p w14:paraId="05007ED7" w14:textId="6081D0EB" w:rsidR="008D085A" w:rsidRPr="00BD4E90" w:rsidRDefault="00BD4E90" w:rsidP="00ED447C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D4E90">
              <w:rPr>
                <w:rFonts w:ascii="Calibri" w:eastAsia="Times New Roman" w:hAnsi="Calibri" w:cs="Calibri"/>
                <w:b/>
                <w:color w:val="000000"/>
              </w:rPr>
              <w:t>21.36</w:t>
            </w:r>
          </w:p>
        </w:tc>
        <w:tc>
          <w:tcPr>
            <w:tcW w:w="1185" w:type="dxa"/>
            <w:shd w:val="clear" w:color="auto" w:fill="D6E3BC" w:themeFill="accent3" w:themeFillTint="66"/>
            <w:noWrap/>
            <w:hideMark/>
          </w:tcPr>
          <w:p w14:paraId="7F0EAF68" w14:textId="58EA3421" w:rsidR="008D085A" w:rsidRPr="00BD4E90" w:rsidRDefault="00B94758" w:rsidP="00ED447C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94758">
              <w:rPr>
                <w:rFonts w:ascii="Calibri" w:eastAsia="Times New Roman" w:hAnsi="Calibri" w:cs="Calibri"/>
                <w:b/>
                <w:color w:val="000000"/>
              </w:rPr>
              <w:t>8.4%</w:t>
            </w:r>
          </w:p>
        </w:tc>
      </w:tr>
      <w:tr w:rsidR="00B94758" w:rsidRPr="008D085A" w14:paraId="0EA2EDC2" w14:textId="77777777" w:rsidTr="00AA2AE3">
        <w:trPr>
          <w:trHeight w:val="300"/>
        </w:trPr>
        <w:tc>
          <w:tcPr>
            <w:tcW w:w="8260" w:type="dxa"/>
            <w:noWrap/>
            <w:hideMark/>
          </w:tcPr>
          <w:p w14:paraId="5AA9FD1B" w14:textId="518A4340" w:rsidR="00B94758" w:rsidRPr="008D085A" w:rsidRDefault="00B94758" w:rsidP="00B94758">
            <w:pPr>
              <w:rPr>
                <w:rFonts w:ascii="Calibri" w:eastAsia="Times New Roman" w:hAnsi="Calibri" w:cs="Calibri"/>
                <w:color w:val="000000"/>
              </w:rPr>
            </w:pPr>
            <w:r w:rsidRPr="00FB58C2">
              <w:t>Improved food security</w:t>
            </w:r>
          </w:p>
        </w:tc>
        <w:tc>
          <w:tcPr>
            <w:tcW w:w="1260" w:type="dxa"/>
            <w:noWrap/>
            <w:hideMark/>
          </w:tcPr>
          <w:p w14:paraId="465FE593" w14:textId="5BCB4303" w:rsidR="00B94758" w:rsidRPr="00997AC9" w:rsidRDefault="00B94758" w:rsidP="00B9475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AC9">
              <w:t>13.02</w:t>
            </w:r>
          </w:p>
        </w:tc>
        <w:tc>
          <w:tcPr>
            <w:tcW w:w="1185" w:type="dxa"/>
            <w:noWrap/>
            <w:hideMark/>
          </w:tcPr>
          <w:p w14:paraId="67F72067" w14:textId="7430E93B" w:rsidR="00B94758" w:rsidRPr="00997AC9" w:rsidRDefault="00B94758" w:rsidP="00B9475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C80">
              <w:t>5.1%</w:t>
            </w:r>
          </w:p>
        </w:tc>
      </w:tr>
      <w:tr w:rsidR="00B94758" w:rsidRPr="008D085A" w14:paraId="2620C5B9" w14:textId="77777777" w:rsidTr="00AA2AE3">
        <w:trPr>
          <w:trHeight w:val="300"/>
        </w:trPr>
        <w:tc>
          <w:tcPr>
            <w:tcW w:w="8260" w:type="dxa"/>
            <w:noWrap/>
            <w:hideMark/>
          </w:tcPr>
          <w:p w14:paraId="1B87D2E4" w14:textId="57576DD6" w:rsidR="00B94758" w:rsidRPr="008D085A" w:rsidRDefault="00B94758" w:rsidP="00B94758">
            <w:pPr>
              <w:rPr>
                <w:rFonts w:ascii="Calibri" w:eastAsia="Times New Roman" w:hAnsi="Calibri" w:cs="Calibri"/>
                <w:color w:val="000000"/>
              </w:rPr>
            </w:pPr>
            <w:r w:rsidRPr="00FB58C2">
              <w:t>Improved food safety</w:t>
            </w:r>
          </w:p>
        </w:tc>
        <w:tc>
          <w:tcPr>
            <w:tcW w:w="1260" w:type="dxa"/>
            <w:noWrap/>
            <w:hideMark/>
          </w:tcPr>
          <w:p w14:paraId="44B23D22" w14:textId="67EB8905" w:rsidR="00B94758" w:rsidRPr="00997AC9" w:rsidRDefault="00B94758" w:rsidP="00B9475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AC9">
              <w:t>8.34</w:t>
            </w:r>
          </w:p>
        </w:tc>
        <w:tc>
          <w:tcPr>
            <w:tcW w:w="1185" w:type="dxa"/>
            <w:noWrap/>
            <w:hideMark/>
          </w:tcPr>
          <w:p w14:paraId="04E0260F" w14:textId="5AACEA84" w:rsidR="00B94758" w:rsidRPr="00997AC9" w:rsidRDefault="00B94758" w:rsidP="00B9475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C80">
              <w:t>3.3%</w:t>
            </w:r>
          </w:p>
        </w:tc>
      </w:tr>
      <w:tr w:rsidR="008D085A" w:rsidRPr="008D085A" w14:paraId="630702CD" w14:textId="77777777" w:rsidTr="00AA2AE3">
        <w:trPr>
          <w:trHeight w:val="300"/>
        </w:trPr>
        <w:tc>
          <w:tcPr>
            <w:tcW w:w="8260" w:type="dxa"/>
            <w:shd w:val="clear" w:color="auto" w:fill="D6E3BC" w:themeFill="accent3" w:themeFillTint="66"/>
            <w:noWrap/>
            <w:hideMark/>
          </w:tcPr>
          <w:p w14:paraId="524E0D7E" w14:textId="77777777" w:rsidR="008D085A" w:rsidRPr="008D085A" w:rsidRDefault="008D085A" w:rsidP="00ED447C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8D085A">
              <w:rPr>
                <w:rFonts w:ascii="Calibri" w:eastAsia="Times New Roman" w:hAnsi="Calibri" w:cs="Calibri"/>
                <w:b/>
                <w:color w:val="000000"/>
              </w:rPr>
              <w:t>UC ANR: Protecting California’s natural resources</w:t>
            </w:r>
          </w:p>
        </w:tc>
        <w:tc>
          <w:tcPr>
            <w:tcW w:w="1260" w:type="dxa"/>
            <w:shd w:val="clear" w:color="auto" w:fill="D6E3BC" w:themeFill="accent3" w:themeFillTint="66"/>
            <w:noWrap/>
            <w:hideMark/>
          </w:tcPr>
          <w:p w14:paraId="176878F6" w14:textId="7D879250" w:rsidR="008D085A" w:rsidRPr="00AF6355" w:rsidRDefault="00BD4E90" w:rsidP="00ED447C">
            <w:pPr>
              <w:jc w:val="center"/>
              <w:rPr>
                <w:rFonts w:ascii="Calibri" w:eastAsia="Times New Roman" w:hAnsi="Calibri" w:cs="Calibri"/>
                <w:b/>
                <w:color w:val="000000"/>
                <w:highlight w:val="yellow"/>
              </w:rPr>
            </w:pPr>
            <w:r w:rsidRPr="00BD4E90">
              <w:rPr>
                <w:rFonts w:ascii="Calibri" w:eastAsia="Times New Roman" w:hAnsi="Calibri" w:cs="Calibri"/>
                <w:b/>
                <w:color w:val="000000"/>
              </w:rPr>
              <w:t>88.7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0</w:t>
            </w:r>
          </w:p>
        </w:tc>
        <w:tc>
          <w:tcPr>
            <w:tcW w:w="1185" w:type="dxa"/>
            <w:shd w:val="clear" w:color="auto" w:fill="D6E3BC" w:themeFill="accent3" w:themeFillTint="66"/>
            <w:noWrap/>
            <w:hideMark/>
          </w:tcPr>
          <w:p w14:paraId="1DF53535" w14:textId="7D9CD90C" w:rsidR="008D085A" w:rsidRPr="00BD4E90" w:rsidRDefault="00B94758" w:rsidP="00ED447C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94758">
              <w:rPr>
                <w:rFonts w:ascii="Calibri" w:eastAsia="Times New Roman" w:hAnsi="Calibri" w:cs="Calibri"/>
                <w:b/>
                <w:color w:val="000000"/>
              </w:rPr>
              <w:t>34.7%</w:t>
            </w:r>
          </w:p>
        </w:tc>
      </w:tr>
      <w:tr w:rsidR="00B94758" w:rsidRPr="008D085A" w14:paraId="680A8489" w14:textId="77777777" w:rsidTr="00AA2AE3">
        <w:trPr>
          <w:trHeight w:val="300"/>
        </w:trPr>
        <w:tc>
          <w:tcPr>
            <w:tcW w:w="8260" w:type="dxa"/>
            <w:noWrap/>
            <w:hideMark/>
          </w:tcPr>
          <w:p w14:paraId="1F03566E" w14:textId="1084613C" w:rsidR="00B94758" w:rsidRPr="008D085A" w:rsidRDefault="00B94758" w:rsidP="00B94758">
            <w:pPr>
              <w:rPr>
                <w:rFonts w:ascii="Calibri" w:eastAsia="Times New Roman" w:hAnsi="Calibri" w:cs="Calibri"/>
                <w:color w:val="000000"/>
              </w:rPr>
            </w:pPr>
            <w:r w:rsidRPr="006263C3">
              <w:t>Increased ecological sustainability of agriculture, landscapes, and forestry</w:t>
            </w:r>
          </w:p>
        </w:tc>
        <w:tc>
          <w:tcPr>
            <w:tcW w:w="1260" w:type="dxa"/>
            <w:noWrap/>
            <w:hideMark/>
          </w:tcPr>
          <w:p w14:paraId="5E177946" w14:textId="41915FF1" w:rsidR="00B94758" w:rsidRPr="00997AC9" w:rsidRDefault="00B94758" w:rsidP="00B9475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AC9">
              <w:t>36.77</w:t>
            </w:r>
          </w:p>
        </w:tc>
        <w:tc>
          <w:tcPr>
            <w:tcW w:w="1185" w:type="dxa"/>
            <w:noWrap/>
            <w:hideMark/>
          </w:tcPr>
          <w:p w14:paraId="45945EED" w14:textId="294357B1" w:rsidR="00B94758" w:rsidRPr="00997AC9" w:rsidRDefault="00B94758" w:rsidP="00B9475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6E0">
              <w:t>14.4%</w:t>
            </w:r>
          </w:p>
        </w:tc>
      </w:tr>
      <w:tr w:rsidR="00B94758" w:rsidRPr="008D085A" w14:paraId="77093074" w14:textId="77777777" w:rsidTr="00AA2AE3">
        <w:trPr>
          <w:trHeight w:val="300"/>
        </w:trPr>
        <w:tc>
          <w:tcPr>
            <w:tcW w:w="8260" w:type="dxa"/>
            <w:noWrap/>
            <w:hideMark/>
          </w:tcPr>
          <w:p w14:paraId="768B5ED2" w14:textId="617536B1" w:rsidR="00B94758" w:rsidRPr="008D085A" w:rsidRDefault="00B94758" w:rsidP="00B94758">
            <w:pPr>
              <w:rPr>
                <w:rFonts w:ascii="Calibri" w:eastAsia="Times New Roman" w:hAnsi="Calibri" w:cs="Calibri"/>
                <w:color w:val="000000"/>
              </w:rPr>
            </w:pPr>
            <w:r w:rsidRPr="006263C3">
              <w:t>Improved management and use of land</w:t>
            </w:r>
          </w:p>
        </w:tc>
        <w:tc>
          <w:tcPr>
            <w:tcW w:w="1260" w:type="dxa"/>
            <w:noWrap/>
            <w:hideMark/>
          </w:tcPr>
          <w:p w14:paraId="5BC1A36F" w14:textId="553D805C" w:rsidR="00B94758" w:rsidRPr="00997AC9" w:rsidRDefault="00B94758" w:rsidP="00B9475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AC9">
              <w:t>20.88</w:t>
            </w:r>
          </w:p>
        </w:tc>
        <w:tc>
          <w:tcPr>
            <w:tcW w:w="1185" w:type="dxa"/>
            <w:noWrap/>
            <w:hideMark/>
          </w:tcPr>
          <w:p w14:paraId="2EA7D0FC" w14:textId="520E9B8C" w:rsidR="00B94758" w:rsidRPr="00997AC9" w:rsidRDefault="00B94758" w:rsidP="00B9475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6E0">
              <w:t>8.2%</w:t>
            </w:r>
          </w:p>
        </w:tc>
      </w:tr>
      <w:tr w:rsidR="00B94758" w:rsidRPr="008D085A" w14:paraId="23FE198B" w14:textId="77777777" w:rsidTr="00AA2AE3">
        <w:trPr>
          <w:trHeight w:val="300"/>
        </w:trPr>
        <w:tc>
          <w:tcPr>
            <w:tcW w:w="8260" w:type="dxa"/>
            <w:noWrap/>
            <w:hideMark/>
          </w:tcPr>
          <w:p w14:paraId="3694DB56" w14:textId="59F8EF77" w:rsidR="00B94758" w:rsidRPr="008D085A" w:rsidRDefault="00B94758" w:rsidP="00B94758">
            <w:pPr>
              <w:rPr>
                <w:rFonts w:ascii="Calibri" w:eastAsia="Times New Roman" w:hAnsi="Calibri" w:cs="Calibri"/>
                <w:color w:val="000000"/>
              </w:rPr>
            </w:pPr>
            <w:r w:rsidRPr="006263C3">
              <w:t>Improved water-use efficiency</w:t>
            </w:r>
          </w:p>
        </w:tc>
        <w:tc>
          <w:tcPr>
            <w:tcW w:w="1260" w:type="dxa"/>
            <w:noWrap/>
            <w:hideMark/>
          </w:tcPr>
          <w:p w14:paraId="07AF3C33" w14:textId="39128D50" w:rsidR="00B94758" w:rsidRPr="00997AC9" w:rsidRDefault="00B94758" w:rsidP="00B9475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AC9">
              <w:t>12.90</w:t>
            </w:r>
          </w:p>
        </w:tc>
        <w:tc>
          <w:tcPr>
            <w:tcW w:w="1185" w:type="dxa"/>
            <w:noWrap/>
            <w:hideMark/>
          </w:tcPr>
          <w:p w14:paraId="68A52EB7" w14:textId="5AB2EEF3" w:rsidR="00B94758" w:rsidRPr="00997AC9" w:rsidRDefault="00B94758" w:rsidP="00B9475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6E0">
              <w:t>5.0%</w:t>
            </w:r>
          </w:p>
        </w:tc>
      </w:tr>
      <w:tr w:rsidR="00B94758" w:rsidRPr="008D085A" w14:paraId="2F7C65B4" w14:textId="77777777" w:rsidTr="00AA2AE3">
        <w:trPr>
          <w:trHeight w:val="300"/>
        </w:trPr>
        <w:tc>
          <w:tcPr>
            <w:tcW w:w="8260" w:type="dxa"/>
            <w:noWrap/>
            <w:hideMark/>
          </w:tcPr>
          <w:p w14:paraId="6626B506" w14:textId="6C41AD6F" w:rsidR="00B94758" w:rsidRPr="008D085A" w:rsidRDefault="00B94758" w:rsidP="00B94758">
            <w:pPr>
              <w:rPr>
                <w:rFonts w:ascii="Calibri" w:eastAsia="Times New Roman" w:hAnsi="Calibri" w:cs="Calibri"/>
                <w:color w:val="000000"/>
              </w:rPr>
            </w:pPr>
            <w:r w:rsidRPr="006263C3">
              <w:t>Improved water quality</w:t>
            </w:r>
          </w:p>
        </w:tc>
        <w:tc>
          <w:tcPr>
            <w:tcW w:w="1260" w:type="dxa"/>
            <w:noWrap/>
            <w:hideMark/>
          </w:tcPr>
          <w:p w14:paraId="75FB849D" w14:textId="5954EF0F" w:rsidR="00B94758" w:rsidRPr="00997AC9" w:rsidRDefault="00B94758" w:rsidP="00B9475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AC9">
              <w:t>8.17</w:t>
            </w:r>
          </w:p>
        </w:tc>
        <w:tc>
          <w:tcPr>
            <w:tcW w:w="1185" w:type="dxa"/>
            <w:noWrap/>
            <w:hideMark/>
          </w:tcPr>
          <w:p w14:paraId="4D1B6848" w14:textId="32F92C41" w:rsidR="00B94758" w:rsidRPr="00997AC9" w:rsidRDefault="00B94758" w:rsidP="00B9475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6E0">
              <w:t>3.2%</w:t>
            </w:r>
          </w:p>
        </w:tc>
      </w:tr>
      <w:tr w:rsidR="00B94758" w:rsidRPr="008D085A" w14:paraId="2EF567E3" w14:textId="77777777" w:rsidTr="00AA2AE3">
        <w:trPr>
          <w:trHeight w:val="300"/>
        </w:trPr>
        <w:tc>
          <w:tcPr>
            <w:tcW w:w="8260" w:type="dxa"/>
            <w:noWrap/>
            <w:hideMark/>
          </w:tcPr>
          <w:p w14:paraId="5256722C" w14:textId="4A657201" w:rsidR="00B94758" w:rsidRPr="008D085A" w:rsidRDefault="00B94758" w:rsidP="00B94758">
            <w:pPr>
              <w:rPr>
                <w:rFonts w:ascii="Calibri" w:eastAsia="Times New Roman" w:hAnsi="Calibri" w:cs="Calibri"/>
                <w:color w:val="000000"/>
              </w:rPr>
            </w:pPr>
            <w:r w:rsidRPr="006263C3">
              <w:t>Protected and conserved soil quality</w:t>
            </w:r>
          </w:p>
        </w:tc>
        <w:tc>
          <w:tcPr>
            <w:tcW w:w="1260" w:type="dxa"/>
            <w:noWrap/>
            <w:hideMark/>
          </w:tcPr>
          <w:p w14:paraId="5966DC46" w14:textId="3B8C1988" w:rsidR="00B94758" w:rsidRPr="00997AC9" w:rsidRDefault="00B94758" w:rsidP="00B9475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AC9">
              <w:t>4.17</w:t>
            </w:r>
          </w:p>
        </w:tc>
        <w:tc>
          <w:tcPr>
            <w:tcW w:w="1185" w:type="dxa"/>
            <w:noWrap/>
            <w:hideMark/>
          </w:tcPr>
          <w:p w14:paraId="5A1D3E8C" w14:textId="1B1EE35A" w:rsidR="00B94758" w:rsidRPr="00997AC9" w:rsidRDefault="00B94758" w:rsidP="00B9475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6E0">
              <w:t>1.6%</w:t>
            </w:r>
          </w:p>
        </w:tc>
      </w:tr>
      <w:tr w:rsidR="00B94758" w:rsidRPr="008D085A" w14:paraId="349570C7" w14:textId="77777777" w:rsidTr="00AA2AE3">
        <w:trPr>
          <w:trHeight w:val="300"/>
        </w:trPr>
        <w:tc>
          <w:tcPr>
            <w:tcW w:w="8260" w:type="dxa"/>
            <w:noWrap/>
            <w:hideMark/>
          </w:tcPr>
          <w:p w14:paraId="179F3FF1" w14:textId="6855BEC8" w:rsidR="00B94758" w:rsidRPr="008D085A" w:rsidRDefault="00B94758" w:rsidP="00B94758">
            <w:pPr>
              <w:rPr>
                <w:rFonts w:ascii="Calibri" w:eastAsia="Times New Roman" w:hAnsi="Calibri" w:cs="Calibri"/>
                <w:color w:val="000000"/>
              </w:rPr>
            </w:pPr>
            <w:r w:rsidRPr="006263C3">
              <w:t>Improved water-supply security</w:t>
            </w:r>
          </w:p>
        </w:tc>
        <w:tc>
          <w:tcPr>
            <w:tcW w:w="1260" w:type="dxa"/>
            <w:noWrap/>
            <w:hideMark/>
          </w:tcPr>
          <w:p w14:paraId="5364B72C" w14:textId="23C2B919" w:rsidR="00B94758" w:rsidRPr="00997AC9" w:rsidRDefault="00B94758" w:rsidP="00B9475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AC9">
              <w:t>3.37</w:t>
            </w:r>
          </w:p>
        </w:tc>
        <w:tc>
          <w:tcPr>
            <w:tcW w:w="1185" w:type="dxa"/>
            <w:noWrap/>
            <w:hideMark/>
          </w:tcPr>
          <w:p w14:paraId="59D3FCC8" w14:textId="4D010F7C" w:rsidR="00B94758" w:rsidRPr="00997AC9" w:rsidRDefault="00B94758" w:rsidP="00B9475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6E0">
              <w:t>1.3%</w:t>
            </w:r>
          </w:p>
        </w:tc>
      </w:tr>
      <w:tr w:rsidR="00B94758" w:rsidRPr="008D085A" w14:paraId="6FF8D36A" w14:textId="77777777" w:rsidTr="00AA2AE3">
        <w:trPr>
          <w:trHeight w:val="300"/>
        </w:trPr>
        <w:tc>
          <w:tcPr>
            <w:tcW w:w="8260" w:type="dxa"/>
            <w:noWrap/>
            <w:hideMark/>
          </w:tcPr>
          <w:p w14:paraId="64146040" w14:textId="7E70E2BE" w:rsidR="00B94758" w:rsidRPr="008D085A" w:rsidRDefault="00B94758" w:rsidP="00B94758">
            <w:pPr>
              <w:rPr>
                <w:rFonts w:ascii="Calibri" w:eastAsia="Times New Roman" w:hAnsi="Calibri" w:cs="Calibri"/>
                <w:color w:val="000000"/>
              </w:rPr>
            </w:pPr>
            <w:r w:rsidRPr="006263C3">
              <w:t>Improved air quality</w:t>
            </w:r>
          </w:p>
        </w:tc>
        <w:tc>
          <w:tcPr>
            <w:tcW w:w="1260" w:type="dxa"/>
            <w:noWrap/>
            <w:hideMark/>
          </w:tcPr>
          <w:p w14:paraId="7CBD6EE8" w14:textId="57359791" w:rsidR="00B94758" w:rsidRPr="00997AC9" w:rsidRDefault="00B94758" w:rsidP="00B9475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AC9">
              <w:t>2.44</w:t>
            </w:r>
          </w:p>
        </w:tc>
        <w:tc>
          <w:tcPr>
            <w:tcW w:w="1185" w:type="dxa"/>
            <w:noWrap/>
            <w:hideMark/>
          </w:tcPr>
          <w:p w14:paraId="0A54BD8F" w14:textId="0D0F6793" w:rsidR="00B94758" w:rsidRPr="00997AC9" w:rsidRDefault="00B94758" w:rsidP="00B9475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6E0">
              <w:t>1.0%</w:t>
            </w:r>
          </w:p>
        </w:tc>
      </w:tr>
      <w:tr w:rsidR="008D085A" w:rsidRPr="008D085A" w14:paraId="57F534BF" w14:textId="77777777" w:rsidTr="00AA2AE3">
        <w:trPr>
          <w:trHeight w:val="300"/>
        </w:trPr>
        <w:tc>
          <w:tcPr>
            <w:tcW w:w="8260" w:type="dxa"/>
            <w:shd w:val="clear" w:color="auto" w:fill="D6E3BC" w:themeFill="accent3" w:themeFillTint="66"/>
            <w:noWrap/>
            <w:hideMark/>
          </w:tcPr>
          <w:p w14:paraId="37D379C0" w14:textId="77777777" w:rsidR="008D085A" w:rsidRPr="008D085A" w:rsidRDefault="008D085A" w:rsidP="00ED447C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8D085A">
              <w:rPr>
                <w:rFonts w:ascii="Calibri" w:eastAsia="Times New Roman" w:hAnsi="Calibri" w:cs="Calibri"/>
                <w:b/>
                <w:color w:val="000000"/>
              </w:rPr>
              <w:t>UC ANR: Promoting healthy people and communities</w:t>
            </w:r>
          </w:p>
        </w:tc>
        <w:tc>
          <w:tcPr>
            <w:tcW w:w="1260" w:type="dxa"/>
            <w:shd w:val="clear" w:color="auto" w:fill="D6E3BC" w:themeFill="accent3" w:themeFillTint="66"/>
            <w:noWrap/>
            <w:hideMark/>
          </w:tcPr>
          <w:p w14:paraId="46F2987C" w14:textId="6726D999" w:rsidR="008D085A" w:rsidRPr="00AF6355" w:rsidRDefault="00B94758" w:rsidP="00ED447C">
            <w:pPr>
              <w:jc w:val="center"/>
              <w:rPr>
                <w:rFonts w:ascii="Calibri" w:eastAsia="Times New Roman" w:hAnsi="Calibri" w:cs="Calibri"/>
                <w:b/>
                <w:color w:val="000000"/>
                <w:highlight w:val="yellow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32</w:t>
            </w:r>
            <w:r w:rsidR="00BD4E90" w:rsidRPr="00BD4E90">
              <w:rPr>
                <w:rFonts w:ascii="Calibri" w:eastAsia="Times New Roman" w:hAnsi="Calibri" w:cs="Calibri"/>
                <w:b/>
                <w:color w:val="000000"/>
              </w:rPr>
              <w:t>.54</w:t>
            </w:r>
          </w:p>
        </w:tc>
        <w:tc>
          <w:tcPr>
            <w:tcW w:w="1185" w:type="dxa"/>
            <w:shd w:val="clear" w:color="auto" w:fill="D6E3BC" w:themeFill="accent3" w:themeFillTint="66"/>
            <w:noWrap/>
            <w:hideMark/>
          </w:tcPr>
          <w:p w14:paraId="63D0AFCD" w14:textId="60E392C2" w:rsidR="008D085A" w:rsidRPr="00BD4E90" w:rsidRDefault="00B94758" w:rsidP="00ED447C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94758">
              <w:rPr>
                <w:rFonts w:ascii="Calibri" w:eastAsia="Times New Roman" w:hAnsi="Calibri" w:cs="Calibri"/>
                <w:b/>
                <w:color w:val="000000"/>
              </w:rPr>
              <w:t>12.7%</w:t>
            </w:r>
          </w:p>
        </w:tc>
      </w:tr>
      <w:tr w:rsidR="00B94758" w:rsidRPr="008D085A" w14:paraId="38EB22E5" w14:textId="77777777" w:rsidTr="00AA2AE3">
        <w:trPr>
          <w:trHeight w:val="300"/>
        </w:trPr>
        <w:tc>
          <w:tcPr>
            <w:tcW w:w="8260" w:type="dxa"/>
            <w:noWrap/>
            <w:hideMark/>
          </w:tcPr>
          <w:p w14:paraId="74F56517" w14:textId="5355E945" w:rsidR="00B94758" w:rsidRPr="008D085A" w:rsidRDefault="00B94758" w:rsidP="00B94758">
            <w:pPr>
              <w:rPr>
                <w:rFonts w:ascii="Calibri" w:eastAsia="Times New Roman" w:hAnsi="Calibri" w:cs="Calibri"/>
                <w:color w:val="000000"/>
              </w:rPr>
            </w:pPr>
            <w:r w:rsidRPr="00B73BBE">
              <w:t>Improved community health and wellness</w:t>
            </w:r>
          </w:p>
        </w:tc>
        <w:tc>
          <w:tcPr>
            <w:tcW w:w="1260" w:type="dxa"/>
            <w:noWrap/>
            <w:hideMark/>
          </w:tcPr>
          <w:p w14:paraId="05341E2B" w14:textId="5E2A71F3" w:rsidR="00B94758" w:rsidRPr="00997AC9" w:rsidRDefault="00B94758" w:rsidP="00B9475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AC9">
              <w:t>15.20</w:t>
            </w:r>
          </w:p>
        </w:tc>
        <w:tc>
          <w:tcPr>
            <w:tcW w:w="1185" w:type="dxa"/>
            <w:noWrap/>
            <w:hideMark/>
          </w:tcPr>
          <w:p w14:paraId="3B760002" w14:textId="148AE1DC" w:rsidR="00B94758" w:rsidRPr="00997AC9" w:rsidRDefault="00B94758" w:rsidP="00B9475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58B0">
              <w:t>5.9%</w:t>
            </w:r>
          </w:p>
        </w:tc>
      </w:tr>
      <w:tr w:rsidR="00B94758" w:rsidRPr="008D085A" w14:paraId="22A9E900" w14:textId="77777777" w:rsidTr="00AA2AE3">
        <w:trPr>
          <w:trHeight w:val="300"/>
        </w:trPr>
        <w:tc>
          <w:tcPr>
            <w:tcW w:w="8260" w:type="dxa"/>
            <w:noWrap/>
            <w:hideMark/>
          </w:tcPr>
          <w:p w14:paraId="2FA680B0" w14:textId="445CC798" w:rsidR="00B94758" w:rsidRPr="008D085A" w:rsidRDefault="00B94758" w:rsidP="00B94758">
            <w:pPr>
              <w:rPr>
                <w:rFonts w:ascii="Calibri" w:eastAsia="Times New Roman" w:hAnsi="Calibri" w:cs="Calibri"/>
                <w:color w:val="000000"/>
              </w:rPr>
            </w:pPr>
            <w:r w:rsidRPr="00B73BBE">
              <w:t>Improved health for all</w:t>
            </w:r>
          </w:p>
        </w:tc>
        <w:tc>
          <w:tcPr>
            <w:tcW w:w="1260" w:type="dxa"/>
            <w:noWrap/>
            <w:hideMark/>
          </w:tcPr>
          <w:p w14:paraId="21A39D15" w14:textId="785FFE3D" w:rsidR="00B94758" w:rsidRPr="00997AC9" w:rsidRDefault="00B94758" w:rsidP="00B9475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AC9">
              <w:t>14.40</w:t>
            </w:r>
          </w:p>
        </w:tc>
        <w:tc>
          <w:tcPr>
            <w:tcW w:w="1185" w:type="dxa"/>
            <w:noWrap/>
            <w:hideMark/>
          </w:tcPr>
          <w:p w14:paraId="1CCDEA80" w14:textId="4BF1CF12" w:rsidR="00B94758" w:rsidRPr="00997AC9" w:rsidRDefault="00B94758" w:rsidP="00B9475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58B0">
              <w:t>5.6%</w:t>
            </w:r>
          </w:p>
        </w:tc>
      </w:tr>
      <w:tr w:rsidR="00B94758" w:rsidRPr="008D085A" w14:paraId="70196185" w14:textId="77777777" w:rsidTr="00AA2AE3">
        <w:trPr>
          <w:trHeight w:val="300"/>
        </w:trPr>
        <w:tc>
          <w:tcPr>
            <w:tcW w:w="8260" w:type="dxa"/>
            <w:noWrap/>
            <w:hideMark/>
          </w:tcPr>
          <w:p w14:paraId="6B5C56D3" w14:textId="460D8216" w:rsidR="00B94758" w:rsidRPr="008D085A" w:rsidRDefault="00B94758" w:rsidP="00B94758">
            <w:pPr>
              <w:rPr>
                <w:rFonts w:ascii="Calibri" w:eastAsia="Times New Roman" w:hAnsi="Calibri" w:cs="Calibri"/>
                <w:color w:val="000000"/>
              </w:rPr>
            </w:pPr>
            <w:r w:rsidRPr="00B73BBE">
              <w:t>Improved access to positive built and natural environments</w:t>
            </w:r>
          </w:p>
        </w:tc>
        <w:tc>
          <w:tcPr>
            <w:tcW w:w="1260" w:type="dxa"/>
            <w:noWrap/>
            <w:hideMark/>
          </w:tcPr>
          <w:p w14:paraId="507BD4D6" w14:textId="710AE8AF" w:rsidR="00B94758" w:rsidRPr="00997AC9" w:rsidRDefault="00B94758" w:rsidP="00B9475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AC9">
              <w:t>2.95</w:t>
            </w:r>
          </w:p>
        </w:tc>
        <w:tc>
          <w:tcPr>
            <w:tcW w:w="1185" w:type="dxa"/>
            <w:noWrap/>
            <w:hideMark/>
          </w:tcPr>
          <w:p w14:paraId="39A0FD12" w14:textId="54439469" w:rsidR="00B94758" w:rsidRPr="00997AC9" w:rsidRDefault="00B94758" w:rsidP="00B9475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58B0">
              <w:t>1.2%</w:t>
            </w:r>
          </w:p>
        </w:tc>
      </w:tr>
      <w:tr w:rsidR="008D085A" w:rsidRPr="008D085A" w14:paraId="69BEA2FE" w14:textId="77777777" w:rsidTr="00AA2AE3">
        <w:trPr>
          <w:trHeight w:val="300"/>
        </w:trPr>
        <w:tc>
          <w:tcPr>
            <w:tcW w:w="8260" w:type="dxa"/>
            <w:shd w:val="clear" w:color="auto" w:fill="D6E3BC" w:themeFill="accent3" w:themeFillTint="66"/>
            <w:noWrap/>
            <w:hideMark/>
          </w:tcPr>
          <w:p w14:paraId="18BF1E2F" w14:textId="77777777" w:rsidR="008D085A" w:rsidRPr="008D085A" w:rsidRDefault="008D085A" w:rsidP="00ED447C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8D085A">
              <w:rPr>
                <w:rFonts w:ascii="Calibri" w:eastAsia="Times New Roman" w:hAnsi="Calibri" w:cs="Calibri"/>
                <w:b/>
                <w:color w:val="000000"/>
              </w:rPr>
              <w:t>UC ANR: Developing a qualified workforce for California</w:t>
            </w:r>
          </w:p>
        </w:tc>
        <w:tc>
          <w:tcPr>
            <w:tcW w:w="1260" w:type="dxa"/>
            <w:shd w:val="clear" w:color="auto" w:fill="D6E3BC" w:themeFill="accent3" w:themeFillTint="66"/>
            <w:noWrap/>
            <w:hideMark/>
          </w:tcPr>
          <w:p w14:paraId="76F5B615" w14:textId="09A33EC3" w:rsidR="008D085A" w:rsidRPr="00AF6355" w:rsidRDefault="00BD4E90" w:rsidP="00ED447C">
            <w:pPr>
              <w:jc w:val="center"/>
              <w:rPr>
                <w:rFonts w:ascii="Calibri" w:eastAsia="Times New Roman" w:hAnsi="Calibri" w:cs="Calibri"/>
                <w:b/>
                <w:color w:val="000000"/>
                <w:highlight w:val="yellow"/>
              </w:rPr>
            </w:pPr>
            <w:r w:rsidRPr="00BD4E90">
              <w:rPr>
                <w:rFonts w:ascii="Calibri" w:eastAsia="Times New Roman" w:hAnsi="Calibri" w:cs="Calibri"/>
                <w:b/>
                <w:color w:val="000000"/>
              </w:rPr>
              <w:t>21.76</w:t>
            </w:r>
          </w:p>
        </w:tc>
        <w:tc>
          <w:tcPr>
            <w:tcW w:w="1185" w:type="dxa"/>
            <w:shd w:val="clear" w:color="auto" w:fill="D6E3BC" w:themeFill="accent3" w:themeFillTint="66"/>
            <w:noWrap/>
            <w:hideMark/>
          </w:tcPr>
          <w:p w14:paraId="4B5728A2" w14:textId="7B631273" w:rsidR="008D085A" w:rsidRPr="0014341A" w:rsidRDefault="00B94758" w:rsidP="00ED447C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94758">
              <w:rPr>
                <w:rFonts w:ascii="Calibri" w:eastAsia="Times New Roman" w:hAnsi="Calibri" w:cs="Calibri"/>
                <w:b/>
                <w:color w:val="000000"/>
              </w:rPr>
              <w:t>8.5%</w:t>
            </w:r>
          </w:p>
        </w:tc>
      </w:tr>
      <w:tr w:rsidR="00B94758" w:rsidRPr="008D085A" w14:paraId="39BB4E29" w14:textId="77777777" w:rsidTr="00AA2AE3">
        <w:trPr>
          <w:trHeight w:val="300"/>
        </w:trPr>
        <w:tc>
          <w:tcPr>
            <w:tcW w:w="8260" w:type="dxa"/>
            <w:noWrap/>
            <w:hideMark/>
          </w:tcPr>
          <w:p w14:paraId="517FE9CD" w14:textId="7FA499C7" w:rsidR="00B94758" w:rsidRPr="008D085A" w:rsidRDefault="00B94758" w:rsidP="00B94758">
            <w:pPr>
              <w:rPr>
                <w:rFonts w:ascii="Calibri" w:eastAsia="Times New Roman" w:hAnsi="Calibri" w:cs="Calibri"/>
                <w:color w:val="000000"/>
              </w:rPr>
            </w:pPr>
            <w:r w:rsidRPr="00705DF9">
              <w:t>Increased civic engagement</w:t>
            </w:r>
          </w:p>
        </w:tc>
        <w:tc>
          <w:tcPr>
            <w:tcW w:w="1260" w:type="dxa"/>
            <w:noWrap/>
            <w:hideMark/>
          </w:tcPr>
          <w:p w14:paraId="33393D28" w14:textId="12E69593" w:rsidR="00B94758" w:rsidRPr="00997AC9" w:rsidRDefault="00B94758" w:rsidP="00B9475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AC9">
              <w:t>6.75</w:t>
            </w:r>
          </w:p>
        </w:tc>
        <w:tc>
          <w:tcPr>
            <w:tcW w:w="1185" w:type="dxa"/>
            <w:noWrap/>
            <w:hideMark/>
          </w:tcPr>
          <w:p w14:paraId="35EBFFA6" w14:textId="7A07DF0B" w:rsidR="00B94758" w:rsidRPr="00997AC9" w:rsidRDefault="00B94758" w:rsidP="00B9475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0C92">
              <w:t>2.6%</w:t>
            </w:r>
          </w:p>
        </w:tc>
      </w:tr>
      <w:tr w:rsidR="00B94758" w:rsidRPr="008D085A" w14:paraId="263CFB1C" w14:textId="77777777" w:rsidTr="00AA2AE3">
        <w:trPr>
          <w:trHeight w:val="300"/>
        </w:trPr>
        <w:tc>
          <w:tcPr>
            <w:tcW w:w="8260" w:type="dxa"/>
            <w:noWrap/>
            <w:hideMark/>
          </w:tcPr>
          <w:p w14:paraId="61B23FFA" w14:textId="5B5526D5" w:rsidR="00B94758" w:rsidRPr="008D085A" w:rsidRDefault="00B94758" w:rsidP="00B94758">
            <w:pPr>
              <w:rPr>
                <w:rFonts w:ascii="Calibri" w:eastAsia="Times New Roman" w:hAnsi="Calibri" w:cs="Calibri"/>
                <w:color w:val="000000"/>
              </w:rPr>
            </w:pPr>
            <w:r w:rsidRPr="00705DF9">
              <w:t>Increased effective public leaders</w:t>
            </w:r>
          </w:p>
        </w:tc>
        <w:tc>
          <w:tcPr>
            <w:tcW w:w="1260" w:type="dxa"/>
            <w:noWrap/>
            <w:hideMark/>
          </w:tcPr>
          <w:p w14:paraId="0E4D45CC" w14:textId="5C4BDA38" w:rsidR="00B94758" w:rsidRPr="00997AC9" w:rsidRDefault="00B94758" w:rsidP="00B9475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AC9">
              <w:t>5.74</w:t>
            </w:r>
          </w:p>
        </w:tc>
        <w:tc>
          <w:tcPr>
            <w:tcW w:w="1185" w:type="dxa"/>
            <w:noWrap/>
            <w:hideMark/>
          </w:tcPr>
          <w:p w14:paraId="457B4CC5" w14:textId="1A57F83F" w:rsidR="00B94758" w:rsidRPr="00997AC9" w:rsidRDefault="00B94758" w:rsidP="00B9475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0C92">
              <w:t>2.2%</w:t>
            </w:r>
          </w:p>
        </w:tc>
      </w:tr>
      <w:tr w:rsidR="00B94758" w:rsidRPr="008D085A" w14:paraId="27C10921" w14:textId="77777777" w:rsidTr="00AA2AE3">
        <w:trPr>
          <w:trHeight w:val="300"/>
        </w:trPr>
        <w:tc>
          <w:tcPr>
            <w:tcW w:w="8260" w:type="dxa"/>
            <w:noWrap/>
            <w:hideMark/>
          </w:tcPr>
          <w:p w14:paraId="0C7A16F9" w14:textId="625E0F16" w:rsidR="00B94758" w:rsidRPr="008D085A" w:rsidRDefault="00B94758" w:rsidP="00B94758">
            <w:pPr>
              <w:rPr>
                <w:rFonts w:ascii="Calibri" w:eastAsia="Times New Roman" w:hAnsi="Calibri" w:cs="Calibri"/>
                <w:color w:val="000000"/>
              </w:rPr>
            </w:pPr>
            <w:r w:rsidRPr="00705DF9">
              <w:t>Increased workforce retention and competency</w:t>
            </w:r>
          </w:p>
        </w:tc>
        <w:tc>
          <w:tcPr>
            <w:tcW w:w="1260" w:type="dxa"/>
            <w:noWrap/>
            <w:hideMark/>
          </w:tcPr>
          <w:p w14:paraId="42D011F8" w14:textId="63979139" w:rsidR="00B94758" w:rsidRPr="00997AC9" w:rsidRDefault="00B94758" w:rsidP="00B9475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AC9">
              <w:t>4.74</w:t>
            </w:r>
          </w:p>
        </w:tc>
        <w:tc>
          <w:tcPr>
            <w:tcW w:w="1185" w:type="dxa"/>
            <w:noWrap/>
            <w:hideMark/>
          </w:tcPr>
          <w:p w14:paraId="434E23D2" w14:textId="65FD9E11" w:rsidR="00B94758" w:rsidRPr="00997AC9" w:rsidRDefault="00B94758" w:rsidP="00B9475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0C92">
              <w:t>1.9%</w:t>
            </w:r>
          </w:p>
        </w:tc>
      </w:tr>
      <w:tr w:rsidR="00B94758" w:rsidRPr="008D085A" w14:paraId="0C3909A5" w14:textId="77777777" w:rsidTr="00AA2AE3">
        <w:trPr>
          <w:trHeight w:val="300"/>
        </w:trPr>
        <w:tc>
          <w:tcPr>
            <w:tcW w:w="8260" w:type="dxa"/>
            <w:noWrap/>
            <w:hideMark/>
          </w:tcPr>
          <w:p w14:paraId="338808A9" w14:textId="63DFBB4C" w:rsidR="00B94758" w:rsidRPr="008D085A" w:rsidRDefault="00B94758" w:rsidP="00B94758">
            <w:pPr>
              <w:rPr>
                <w:rFonts w:ascii="Calibri" w:eastAsia="Times New Roman" w:hAnsi="Calibri" w:cs="Calibri"/>
                <w:color w:val="000000"/>
              </w:rPr>
            </w:pPr>
            <w:r w:rsidRPr="00705DF9">
              <w:t>Improved college readiness and access</w:t>
            </w:r>
          </w:p>
        </w:tc>
        <w:tc>
          <w:tcPr>
            <w:tcW w:w="1260" w:type="dxa"/>
            <w:noWrap/>
            <w:hideMark/>
          </w:tcPr>
          <w:p w14:paraId="04C114CA" w14:textId="069FACBD" w:rsidR="00B94758" w:rsidRPr="00997AC9" w:rsidRDefault="00B94758" w:rsidP="00B9475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AC9">
              <w:t>4.53</w:t>
            </w:r>
          </w:p>
        </w:tc>
        <w:tc>
          <w:tcPr>
            <w:tcW w:w="1185" w:type="dxa"/>
            <w:noWrap/>
            <w:hideMark/>
          </w:tcPr>
          <w:p w14:paraId="7E47313E" w14:textId="6DBE598B" w:rsidR="00B94758" w:rsidRPr="00997AC9" w:rsidRDefault="00B94758" w:rsidP="00B9475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0C92">
              <w:t>1.8%</w:t>
            </w:r>
          </w:p>
        </w:tc>
      </w:tr>
      <w:tr w:rsidR="008D085A" w:rsidRPr="008D085A" w14:paraId="7CEAC161" w14:textId="77777777" w:rsidTr="00AA2AE3">
        <w:trPr>
          <w:trHeight w:val="300"/>
        </w:trPr>
        <w:tc>
          <w:tcPr>
            <w:tcW w:w="8260" w:type="dxa"/>
            <w:shd w:val="clear" w:color="auto" w:fill="D6E3BC" w:themeFill="accent3" w:themeFillTint="66"/>
            <w:noWrap/>
            <w:hideMark/>
          </w:tcPr>
          <w:p w14:paraId="0333A4A2" w14:textId="77777777" w:rsidR="008D085A" w:rsidRPr="008D085A" w:rsidRDefault="008D085A" w:rsidP="00ED447C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8D085A">
              <w:rPr>
                <w:rFonts w:ascii="Calibri" w:eastAsia="Times New Roman" w:hAnsi="Calibri" w:cs="Calibri"/>
                <w:b/>
                <w:color w:val="000000"/>
              </w:rPr>
              <w:t>UC ANR: Building climate-resilient communities and ecosystems</w:t>
            </w:r>
          </w:p>
        </w:tc>
        <w:tc>
          <w:tcPr>
            <w:tcW w:w="1260" w:type="dxa"/>
            <w:shd w:val="clear" w:color="auto" w:fill="D6E3BC" w:themeFill="accent3" w:themeFillTint="66"/>
            <w:noWrap/>
            <w:hideMark/>
          </w:tcPr>
          <w:p w14:paraId="6F3F9C56" w14:textId="7C2D16B3" w:rsidR="008D085A" w:rsidRPr="00AF6355" w:rsidRDefault="00BD4E90" w:rsidP="00ED447C">
            <w:pPr>
              <w:jc w:val="center"/>
              <w:rPr>
                <w:rFonts w:ascii="Calibri" w:eastAsia="Times New Roman" w:hAnsi="Calibri" w:cs="Calibri"/>
                <w:b/>
                <w:color w:val="000000"/>
                <w:highlight w:val="yellow"/>
              </w:rPr>
            </w:pPr>
            <w:r w:rsidRPr="00BD4E90">
              <w:rPr>
                <w:rFonts w:ascii="Calibri" w:eastAsia="Times New Roman" w:hAnsi="Calibri" w:cs="Calibri"/>
                <w:b/>
                <w:color w:val="000000"/>
              </w:rPr>
              <w:t>5.54</w:t>
            </w:r>
          </w:p>
        </w:tc>
        <w:tc>
          <w:tcPr>
            <w:tcW w:w="1185" w:type="dxa"/>
            <w:shd w:val="clear" w:color="auto" w:fill="D6E3BC" w:themeFill="accent3" w:themeFillTint="66"/>
            <w:noWrap/>
            <w:hideMark/>
          </w:tcPr>
          <w:p w14:paraId="765D8601" w14:textId="5395A958" w:rsidR="008D085A" w:rsidRPr="0014341A" w:rsidRDefault="00B94758" w:rsidP="00ED447C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94758">
              <w:rPr>
                <w:rFonts w:ascii="Calibri" w:eastAsia="Times New Roman" w:hAnsi="Calibri" w:cs="Calibri"/>
                <w:b/>
                <w:color w:val="000000"/>
              </w:rPr>
              <w:t>2.2%</w:t>
            </w:r>
          </w:p>
        </w:tc>
      </w:tr>
      <w:tr w:rsidR="00C51DCD" w:rsidRPr="008D085A" w14:paraId="5AED8BDB" w14:textId="77777777" w:rsidTr="00AA2AE3">
        <w:trPr>
          <w:trHeight w:val="300"/>
        </w:trPr>
        <w:tc>
          <w:tcPr>
            <w:tcW w:w="8260" w:type="dxa"/>
            <w:noWrap/>
            <w:hideMark/>
          </w:tcPr>
          <w:p w14:paraId="5509B187" w14:textId="6F998830" w:rsidR="00C51DCD" w:rsidRPr="008D085A" w:rsidRDefault="00C51DCD" w:rsidP="00C51DCD">
            <w:pPr>
              <w:rPr>
                <w:rFonts w:ascii="Calibri" w:eastAsia="Times New Roman" w:hAnsi="Calibri" w:cs="Calibri"/>
                <w:color w:val="000000"/>
              </w:rPr>
            </w:pPr>
            <w:r w:rsidRPr="000D614C">
              <w:t>Increased preparedness and resilience to extreme weather and climate change</w:t>
            </w:r>
          </w:p>
        </w:tc>
        <w:tc>
          <w:tcPr>
            <w:tcW w:w="1260" w:type="dxa"/>
            <w:noWrap/>
            <w:hideMark/>
          </w:tcPr>
          <w:p w14:paraId="6FEC7BA8" w14:textId="24A471C4" w:rsidR="00C51DCD" w:rsidRPr="00997AC9" w:rsidRDefault="00C51DCD" w:rsidP="00C51DC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AC9">
              <w:t>5.54</w:t>
            </w:r>
          </w:p>
        </w:tc>
        <w:tc>
          <w:tcPr>
            <w:tcW w:w="1185" w:type="dxa"/>
            <w:noWrap/>
            <w:hideMark/>
          </w:tcPr>
          <w:p w14:paraId="5E50C049" w14:textId="13663D1F" w:rsidR="00C51DCD" w:rsidRPr="00997AC9" w:rsidRDefault="00C51DCD" w:rsidP="00C51DC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AC9">
              <w:t>2</w:t>
            </w:r>
            <w:r w:rsidR="00B94758">
              <w:t>.2</w:t>
            </w:r>
            <w:r w:rsidRPr="00997AC9">
              <w:t>%</w:t>
            </w:r>
          </w:p>
        </w:tc>
      </w:tr>
      <w:tr w:rsidR="008D085A" w:rsidRPr="008D085A" w14:paraId="0CFE1B31" w14:textId="77777777" w:rsidTr="00AA2AE3">
        <w:trPr>
          <w:trHeight w:val="300"/>
        </w:trPr>
        <w:tc>
          <w:tcPr>
            <w:tcW w:w="8260" w:type="dxa"/>
            <w:shd w:val="clear" w:color="auto" w:fill="D6E3BC" w:themeFill="accent3" w:themeFillTint="66"/>
            <w:noWrap/>
            <w:hideMark/>
          </w:tcPr>
          <w:p w14:paraId="661B3A81" w14:textId="77777777" w:rsidR="008D085A" w:rsidRPr="008D085A" w:rsidRDefault="008D085A" w:rsidP="00ED447C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8D085A">
              <w:rPr>
                <w:rFonts w:ascii="Calibri" w:eastAsia="Times New Roman" w:hAnsi="Calibri" w:cs="Calibri"/>
                <w:b/>
                <w:color w:val="000000"/>
              </w:rPr>
              <w:t>UC ANR: Developing an inclusive and equitable society</w:t>
            </w:r>
          </w:p>
        </w:tc>
        <w:tc>
          <w:tcPr>
            <w:tcW w:w="1260" w:type="dxa"/>
            <w:shd w:val="clear" w:color="auto" w:fill="D6E3BC" w:themeFill="accent3" w:themeFillTint="66"/>
            <w:noWrap/>
            <w:hideMark/>
          </w:tcPr>
          <w:p w14:paraId="3DA060EC" w14:textId="71285205" w:rsidR="008D085A" w:rsidRPr="00AF6355" w:rsidRDefault="00BD4E90" w:rsidP="00ED447C">
            <w:pPr>
              <w:jc w:val="center"/>
              <w:rPr>
                <w:rFonts w:ascii="Calibri" w:eastAsia="Times New Roman" w:hAnsi="Calibri" w:cs="Calibri"/>
                <w:b/>
                <w:color w:val="000000"/>
                <w:highlight w:val="yellow"/>
              </w:rPr>
            </w:pPr>
            <w:r w:rsidRPr="00BD4E90">
              <w:rPr>
                <w:rFonts w:ascii="Calibri" w:eastAsia="Times New Roman" w:hAnsi="Calibri" w:cs="Calibri"/>
                <w:b/>
                <w:color w:val="000000"/>
              </w:rPr>
              <w:t>3.44</w:t>
            </w:r>
          </w:p>
        </w:tc>
        <w:tc>
          <w:tcPr>
            <w:tcW w:w="1185" w:type="dxa"/>
            <w:shd w:val="clear" w:color="auto" w:fill="D6E3BC" w:themeFill="accent3" w:themeFillTint="66"/>
            <w:noWrap/>
            <w:hideMark/>
          </w:tcPr>
          <w:p w14:paraId="4CB31374" w14:textId="5490818B" w:rsidR="008D085A" w:rsidRPr="0014341A" w:rsidRDefault="00B94758" w:rsidP="00ED447C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94758">
              <w:rPr>
                <w:rFonts w:ascii="Calibri" w:eastAsia="Times New Roman" w:hAnsi="Calibri" w:cs="Calibri"/>
                <w:b/>
                <w:color w:val="000000"/>
              </w:rPr>
              <w:t>1.3%</w:t>
            </w:r>
          </w:p>
        </w:tc>
      </w:tr>
      <w:tr w:rsidR="00B94758" w:rsidRPr="00ED447C" w14:paraId="2F6A5C3E" w14:textId="77777777" w:rsidTr="00AA2AE3">
        <w:trPr>
          <w:trHeight w:val="300"/>
        </w:trPr>
        <w:tc>
          <w:tcPr>
            <w:tcW w:w="8260" w:type="dxa"/>
            <w:noWrap/>
            <w:hideMark/>
          </w:tcPr>
          <w:p w14:paraId="0B65D64F" w14:textId="72AF0A6D" w:rsidR="00B94758" w:rsidRPr="00ED447C" w:rsidRDefault="00B94758" w:rsidP="00B94758">
            <w:pPr>
              <w:rPr>
                <w:rFonts w:ascii="Calibri" w:eastAsia="Times New Roman" w:hAnsi="Calibri" w:cs="Calibri"/>
                <w:color w:val="000000"/>
              </w:rPr>
            </w:pPr>
            <w:r w:rsidRPr="00A21157">
              <w:t>Increased diversity, inclusiveness, and cultural competency in California's workplaces</w:t>
            </w:r>
          </w:p>
        </w:tc>
        <w:tc>
          <w:tcPr>
            <w:tcW w:w="1260" w:type="dxa"/>
            <w:noWrap/>
            <w:hideMark/>
          </w:tcPr>
          <w:p w14:paraId="5CDB4E51" w14:textId="529D4FE0" w:rsidR="00B94758" w:rsidRPr="00997AC9" w:rsidRDefault="00B94758" w:rsidP="00B9475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AC9">
              <w:t>2.72</w:t>
            </w:r>
          </w:p>
        </w:tc>
        <w:tc>
          <w:tcPr>
            <w:tcW w:w="1185" w:type="dxa"/>
            <w:noWrap/>
            <w:hideMark/>
          </w:tcPr>
          <w:p w14:paraId="64586D6A" w14:textId="1244E3C5" w:rsidR="00B94758" w:rsidRPr="00997AC9" w:rsidRDefault="00B94758" w:rsidP="00B9475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4EF2">
              <w:t>1.1%</w:t>
            </w:r>
          </w:p>
        </w:tc>
      </w:tr>
      <w:tr w:rsidR="00B94758" w:rsidRPr="008D085A" w14:paraId="2FE8314F" w14:textId="77777777" w:rsidTr="00AA2AE3">
        <w:trPr>
          <w:trHeight w:val="300"/>
        </w:trPr>
        <w:tc>
          <w:tcPr>
            <w:tcW w:w="8260" w:type="dxa"/>
            <w:noWrap/>
            <w:hideMark/>
          </w:tcPr>
          <w:p w14:paraId="1E617D1C" w14:textId="77981F8D" w:rsidR="00B94758" w:rsidRPr="00ED447C" w:rsidRDefault="00B94758" w:rsidP="00B94758">
            <w:pPr>
              <w:rPr>
                <w:rFonts w:ascii="Calibri" w:eastAsia="Times New Roman" w:hAnsi="Calibri" w:cs="Calibri"/>
                <w:color w:val="000000"/>
              </w:rPr>
            </w:pPr>
            <w:r w:rsidRPr="00A21157">
              <w:t>Improved living and working conditions for California's food system and farm workers</w:t>
            </w:r>
          </w:p>
        </w:tc>
        <w:tc>
          <w:tcPr>
            <w:tcW w:w="1260" w:type="dxa"/>
            <w:noWrap/>
            <w:hideMark/>
          </w:tcPr>
          <w:p w14:paraId="1D0952B2" w14:textId="1CEBB9E4" w:rsidR="00B94758" w:rsidRPr="00997AC9" w:rsidRDefault="00B94758" w:rsidP="00B9475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AC9">
              <w:t>0.72</w:t>
            </w:r>
          </w:p>
        </w:tc>
        <w:tc>
          <w:tcPr>
            <w:tcW w:w="1185" w:type="dxa"/>
            <w:noWrap/>
            <w:hideMark/>
          </w:tcPr>
          <w:p w14:paraId="09B640FF" w14:textId="5023752C" w:rsidR="00B94758" w:rsidRPr="00997AC9" w:rsidRDefault="00B94758" w:rsidP="00B9475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4EF2">
              <w:t>0.3%</w:t>
            </w:r>
          </w:p>
        </w:tc>
      </w:tr>
      <w:tr w:rsidR="00C51DCD" w:rsidRPr="008D085A" w14:paraId="2C43FEAB" w14:textId="77777777" w:rsidTr="00AA2AE3">
        <w:trPr>
          <w:trHeight w:val="300"/>
        </w:trPr>
        <w:tc>
          <w:tcPr>
            <w:tcW w:w="8260" w:type="dxa"/>
            <w:shd w:val="clear" w:color="auto" w:fill="D6E3BC" w:themeFill="accent3" w:themeFillTint="66"/>
            <w:noWrap/>
            <w:hideMark/>
          </w:tcPr>
          <w:p w14:paraId="79B85FCA" w14:textId="49AB025D" w:rsidR="00C51DCD" w:rsidRPr="008D085A" w:rsidRDefault="00C51DCD" w:rsidP="00C51DC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Condition change s</w:t>
            </w:r>
            <w:r w:rsidRPr="008D085A">
              <w:rPr>
                <w:rFonts w:ascii="Calibri" w:eastAsia="Times New Roman" w:hAnsi="Calibri" w:cs="Calibri"/>
                <w:color w:val="000000"/>
              </w:rPr>
              <w:t>elf-defined</w:t>
            </w:r>
          </w:p>
        </w:tc>
        <w:tc>
          <w:tcPr>
            <w:tcW w:w="1260" w:type="dxa"/>
            <w:shd w:val="clear" w:color="auto" w:fill="D6E3BC" w:themeFill="accent3" w:themeFillTint="66"/>
            <w:noWrap/>
            <w:hideMark/>
          </w:tcPr>
          <w:p w14:paraId="313FBC26" w14:textId="4F084BB3" w:rsidR="00C51DCD" w:rsidRPr="00997AC9" w:rsidRDefault="00C51DCD" w:rsidP="00C51DC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AC9">
              <w:t>14.10</w:t>
            </w:r>
          </w:p>
        </w:tc>
        <w:tc>
          <w:tcPr>
            <w:tcW w:w="1185" w:type="dxa"/>
            <w:shd w:val="clear" w:color="auto" w:fill="D6E3BC" w:themeFill="accent3" w:themeFillTint="66"/>
            <w:noWrap/>
            <w:hideMark/>
          </w:tcPr>
          <w:p w14:paraId="7521C9B4" w14:textId="48945EC9" w:rsidR="00C51DCD" w:rsidRPr="00997AC9" w:rsidRDefault="00B94758" w:rsidP="00C51DC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758">
              <w:t>5.5%</w:t>
            </w:r>
          </w:p>
        </w:tc>
      </w:tr>
      <w:tr w:rsidR="008D085A" w:rsidRPr="008D085A" w14:paraId="04E7282A" w14:textId="77777777" w:rsidTr="00AA2AE3">
        <w:trPr>
          <w:trHeight w:val="300"/>
        </w:trPr>
        <w:tc>
          <w:tcPr>
            <w:tcW w:w="8260" w:type="dxa"/>
            <w:shd w:val="clear" w:color="auto" w:fill="auto"/>
            <w:noWrap/>
          </w:tcPr>
          <w:p w14:paraId="478DBEC3" w14:textId="77777777" w:rsidR="008D085A" w:rsidRPr="008D085A" w:rsidRDefault="008D085A" w:rsidP="00ED447C">
            <w:pPr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Total</w:t>
            </w:r>
          </w:p>
        </w:tc>
        <w:tc>
          <w:tcPr>
            <w:tcW w:w="1260" w:type="dxa"/>
            <w:shd w:val="clear" w:color="auto" w:fill="auto"/>
            <w:noWrap/>
          </w:tcPr>
          <w:p w14:paraId="23DC141C" w14:textId="3CD04EF3" w:rsidR="008D085A" w:rsidRPr="00997AC9" w:rsidRDefault="00997AC9" w:rsidP="00ED447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AC9">
              <w:rPr>
                <w:rFonts w:ascii="Calibri" w:eastAsia="Times New Roman" w:hAnsi="Calibri" w:cs="Calibri"/>
                <w:color w:val="000000"/>
              </w:rPr>
              <w:t>255.63</w:t>
            </w:r>
          </w:p>
        </w:tc>
        <w:tc>
          <w:tcPr>
            <w:tcW w:w="1185" w:type="dxa"/>
            <w:shd w:val="clear" w:color="auto" w:fill="auto"/>
            <w:noWrap/>
          </w:tcPr>
          <w:p w14:paraId="4CFC44C5" w14:textId="1E7185D0" w:rsidR="008D085A" w:rsidRPr="00997AC9" w:rsidRDefault="008D085A" w:rsidP="00ED447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AC9">
              <w:rPr>
                <w:rFonts w:ascii="Calibri" w:eastAsia="Times New Roman" w:hAnsi="Calibri" w:cs="Calibri"/>
                <w:color w:val="000000"/>
              </w:rPr>
              <w:t>100</w:t>
            </w:r>
            <w:r w:rsidR="00997AC9" w:rsidRPr="00997AC9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</w:tbl>
    <w:p w14:paraId="32FC8AA2" w14:textId="77777777" w:rsidR="008D085A" w:rsidRDefault="008D085A" w:rsidP="00ED447C">
      <w:pPr>
        <w:spacing w:after="0" w:line="240" w:lineRule="auto"/>
        <w:rPr>
          <w:rFonts w:cstheme="minorHAnsi"/>
        </w:rPr>
      </w:pPr>
    </w:p>
    <w:p w14:paraId="1B759995" w14:textId="77777777" w:rsidR="001E65F5" w:rsidRDefault="001E65F5" w:rsidP="00ED447C">
      <w:pPr>
        <w:tabs>
          <w:tab w:val="left" w:pos="2010"/>
        </w:tabs>
        <w:spacing w:after="0" w:line="240" w:lineRule="auto"/>
        <w:rPr>
          <w:rFonts w:cstheme="minorHAnsi"/>
        </w:rPr>
      </w:pPr>
    </w:p>
    <w:p w14:paraId="059ED0D6" w14:textId="54D7D8EE" w:rsidR="00542DC6" w:rsidRPr="00E87D80" w:rsidRDefault="00B94758" w:rsidP="00ED447C">
      <w:pPr>
        <w:tabs>
          <w:tab w:val="left" w:pos="2010"/>
        </w:tabs>
        <w:spacing w:after="0" w:line="240" w:lineRule="auto"/>
        <w:rPr>
          <w:rFonts w:cstheme="minorHAnsi"/>
        </w:rPr>
      </w:pPr>
      <w:r>
        <w:rPr>
          <w:noProof/>
        </w:rPr>
        <w:lastRenderedPageBreak/>
        <w:drawing>
          <wp:inline distT="0" distB="0" distL="0" distR="0" wp14:anchorId="0C3F2628" wp14:editId="0B5836EF">
            <wp:extent cx="6657975" cy="420052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8BE6088" w14:textId="5A279099" w:rsidR="00471F9F" w:rsidRDefault="00471F9F" w:rsidP="00ED447C">
      <w:pPr>
        <w:spacing w:after="0"/>
        <w:rPr>
          <w:rFonts w:cstheme="minorHAnsi"/>
          <w:b/>
        </w:rPr>
      </w:pPr>
    </w:p>
    <w:p w14:paraId="3AE32B34" w14:textId="2076937F" w:rsidR="005E4274" w:rsidRDefault="005E4274" w:rsidP="00ED447C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Qualitative summary of self-defined condition changes</w:t>
      </w:r>
    </w:p>
    <w:p w14:paraId="1207B569" w14:textId="08F0EF9B" w:rsidR="00EC60D8" w:rsidRDefault="008402F5" w:rsidP="00EC60D8">
      <w:pPr>
        <w:rPr>
          <w:rFonts w:cstheme="minorHAnsi"/>
        </w:rPr>
      </w:pPr>
      <w:r>
        <w:rPr>
          <w:rFonts w:cstheme="minorHAnsi"/>
        </w:rPr>
        <w:t>Respondents</w:t>
      </w:r>
      <w:r w:rsidR="00EC60D8">
        <w:rPr>
          <w:rFonts w:cstheme="minorHAnsi"/>
        </w:rPr>
        <w:t xml:space="preserve"> </w:t>
      </w:r>
      <w:r w:rsidR="00F50518">
        <w:rPr>
          <w:rFonts w:cstheme="minorHAnsi"/>
        </w:rPr>
        <w:t xml:space="preserve">(20 CE Advisors, 6 CE Specialists, and 5 other UC ANR CE Academics) </w:t>
      </w:r>
      <w:r w:rsidR="00EC60D8">
        <w:rPr>
          <w:rFonts w:cstheme="minorHAnsi"/>
        </w:rPr>
        <w:t xml:space="preserve">entered self-defined condition changes 41 times, for a total of 14.10 FTE. </w:t>
      </w:r>
      <w:r w:rsidR="00DB1A6A">
        <w:rPr>
          <w:rFonts w:cstheme="minorHAnsi"/>
        </w:rPr>
        <w:t>These self-defined condition changes are listed below, organized by common themes.</w:t>
      </w:r>
      <w:r w:rsidR="00EC60D8">
        <w:rPr>
          <w:rFonts w:cstheme="minorHAnsi"/>
        </w:rPr>
        <w:t xml:space="preserve"> </w:t>
      </w:r>
    </w:p>
    <w:p w14:paraId="7035DFAA" w14:textId="24C96400" w:rsidR="00EC60D8" w:rsidRPr="00EC60D8" w:rsidRDefault="00EC60D8" w:rsidP="00EC60D8">
      <w:pPr>
        <w:pStyle w:val="ListParagraph"/>
        <w:numPr>
          <w:ilvl w:val="0"/>
          <w:numId w:val="11"/>
        </w:numPr>
        <w:rPr>
          <w:rFonts w:cstheme="minorHAnsi"/>
        </w:rPr>
      </w:pPr>
      <w:r w:rsidRPr="00EC60D8">
        <w:rPr>
          <w:rFonts w:cstheme="minorHAnsi"/>
          <w:b/>
        </w:rPr>
        <w:t>Administration - County</w:t>
      </w:r>
      <w:r>
        <w:rPr>
          <w:rFonts w:cstheme="minorHAnsi"/>
        </w:rPr>
        <w:t xml:space="preserve">: </w:t>
      </w:r>
      <w:r w:rsidRPr="00EC60D8">
        <w:rPr>
          <w:rFonts w:cstheme="minorHAnsi"/>
        </w:rPr>
        <w:t>County Administration and 4-H</w:t>
      </w:r>
      <w:r>
        <w:rPr>
          <w:rFonts w:cstheme="minorHAnsi"/>
        </w:rPr>
        <w:t xml:space="preserve">, </w:t>
      </w:r>
      <w:r w:rsidRPr="00EC60D8">
        <w:rPr>
          <w:rFonts w:cstheme="minorHAnsi"/>
        </w:rPr>
        <w:t>County and REC Administration</w:t>
      </w:r>
      <w:r>
        <w:rPr>
          <w:rFonts w:cstheme="minorHAnsi"/>
        </w:rPr>
        <w:t xml:space="preserve">, </w:t>
      </w:r>
      <w:r w:rsidRPr="00EC60D8">
        <w:rPr>
          <w:rFonts w:cstheme="minorHAnsi"/>
        </w:rPr>
        <w:t>County Director</w:t>
      </w:r>
      <w:r>
        <w:rPr>
          <w:rFonts w:cstheme="minorHAnsi"/>
        </w:rPr>
        <w:t xml:space="preserve"> (4), County Director A</w:t>
      </w:r>
      <w:r w:rsidRPr="00EC60D8">
        <w:rPr>
          <w:rFonts w:cstheme="minorHAnsi"/>
        </w:rPr>
        <w:t>dministration</w:t>
      </w:r>
      <w:r>
        <w:rPr>
          <w:rFonts w:cstheme="minorHAnsi"/>
        </w:rPr>
        <w:t xml:space="preserve"> (7), </w:t>
      </w:r>
      <w:r w:rsidRPr="00EC60D8">
        <w:rPr>
          <w:rFonts w:cstheme="minorHAnsi"/>
        </w:rPr>
        <w:t>County Director Administration - Ensured County Funding/Office Stability/</w:t>
      </w:r>
      <w:r>
        <w:rPr>
          <w:rFonts w:cstheme="minorHAnsi"/>
        </w:rPr>
        <w:t xml:space="preserve">, </w:t>
      </w:r>
      <w:r w:rsidRPr="00EC60D8">
        <w:rPr>
          <w:rFonts w:cstheme="minorHAnsi"/>
        </w:rPr>
        <w:t>Interim County Director Administration</w:t>
      </w:r>
      <w:r>
        <w:rPr>
          <w:rFonts w:cstheme="minorHAnsi"/>
        </w:rPr>
        <w:t xml:space="preserve">, </w:t>
      </w:r>
      <w:r w:rsidRPr="00EC60D8">
        <w:rPr>
          <w:rFonts w:cstheme="minorHAnsi"/>
        </w:rPr>
        <w:t>UCCE Butte County Director</w:t>
      </w:r>
      <w:r>
        <w:rPr>
          <w:rFonts w:cstheme="minorHAnsi"/>
        </w:rPr>
        <w:t>.</w:t>
      </w:r>
    </w:p>
    <w:p w14:paraId="78BAB801" w14:textId="68382C11" w:rsidR="00EC60D8" w:rsidRDefault="00EC60D8" w:rsidP="00EC60D8">
      <w:pPr>
        <w:pStyle w:val="ListParagraph"/>
        <w:numPr>
          <w:ilvl w:val="0"/>
          <w:numId w:val="11"/>
        </w:numPr>
        <w:rPr>
          <w:rFonts w:ascii="Calibri" w:eastAsia="Times New Roman" w:hAnsi="Calibri" w:cs="Calibri"/>
          <w:color w:val="000000"/>
        </w:rPr>
      </w:pPr>
      <w:r w:rsidRPr="00EC60D8">
        <w:rPr>
          <w:rFonts w:ascii="Calibri" w:eastAsia="Times New Roman" w:hAnsi="Calibri" w:cs="Calibri"/>
          <w:b/>
          <w:color w:val="000000"/>
        </w:rPr>
        <w:t>Administration - Misc.</w:t>
      </w:r>
      <w:r>
        <w:rPr>
          <w:rFonts w:ascii="Calibri" w:eastAsia="Times New Roman" w:hAnsi="Calibri" w:cs="Calibri"/>
          <w:color w:val="000000"/>
        </w:rPr>
        <w:t xml:space="preserve">: </w:t>
      </w:r>
      <w:r w:rsidRPr="00EC60D8">
        <w:rPr>
          <w:rFonts w:ascii="Calibri" w:eastAsia="Times New Roman" w:hAnsi="Calibri" w:cs="Calibri"/>
          <w:color w:val="000000"/>
        </w:rPr>
        <w:t>Administration UC CalFresh and EFNEP</w:t>
      </w:r>
      <w:r>
        <w:rPr>
          <w:rFonts w:ascii="Calibri" w:eastAsia="Times New Roman" w:hAnsi="Calibri" w:cs="Calibri"/>
          <w:color w:val="000000"/>
        </w:rPr>
        <w:t xml:space="preserve">, </w:t>
      </w:r>
      <w:r w:rsidRPr="00EC60D8">
        <w:rPr>
          <w:rFonts w:ascii="Calibri" w:eastAsia="Times New Roman" w:hAnsi="Calibri" w:cs="Calibri"/>
          <w:color w:val="000000"/>
        </w:rPr>
        <w:t>Committee work both ANR, Departmental and UCD related</w:t>
      </w:r>
      <w:r>
        <w:rPr>
          <w:rFonts w:ascii="Calibri" w:eastAsia="Times New Roman" w:hAnsi="Calibri" w:cs="Calibri"/>
          <w:color w:val="000000"/>
        </w:rPr>
        <w:t xml:space="preserve">, </w:t>
      </w:r>
      <w:r w:rsidRPr="00EC60D8">
        <w:rPr>
          <w:rFonts w:ascii="Calibri" w:eastAsia="Times New Roman" w:hAnsi="Calibri" w:cs="Calibri"/>
          <w:color w:val="000000"/>
        </w:rPr>
        <w:t>Improve leadership at Desert REC</w:t>
      </w:r>
      <w:r>
        <w:rPr>
          <w:rFonts w:ascii="Calibri" w:eastAsia="Times New Roman" w:hAnsi="Calibri" w:cs="Calibri"/>
          <w:color w:val="000000"/>
        </w:rPr>
        <w:t xml:space="preserve">, </w:t>
      </w:r>
      <w:r w:rsidRPr="00EC60D8">
        <w:rPr>
          <w:rFonts w:ascii="Calibri" w:eastAsia="Times New Roman" w:hAnsi="Calibri" w:cs="Calibri"/>
          <w:color w:val="000000"/>
        </w:rPr>
        <w:t>Improved administrative processes and efficiencies in operations</w:t>
      </w:r>
      <w:r>
        <w:rPr>
          <w:rFonts w:ascii="Calibri" w:eastAsia="Times New Roman" w:hAnsi="Calibri" w:cs="Calibri"/>
          <w:color w:val="000000"/>
        </w:rPr>
        <w:t xml:space="preserve">, </w:t>
      </w:r>
      <w:r w:rsidRPr="00EC60D8">
        <w:rPr>
          <w:rFonts w:ascii="Calibri" w:eastAsia="Times New Roman" w:hAnsi="Calibri" w:cs="Calibri"/>
          <w:color w:val="000000"/>
        </w:rPr>
        <w:t>Improved community relations, program delivery, and workforce competency</w:t>
      </w:r>
      <w:r>
        <w:rPr>
          <w:rFonts w:ascii="Calibri" w:eastAsia="Times New Roman" w:hAnsi="Calibri" w:cs="Calibri"/>
          <w:color w:val="000000"/>
        </w:rPr>
        <w:t xml:space="preserve">, </w:t>
      </w:r>
      <w:r w:rsidRPr="00EC60D8">
        <w:rPr>
          <w:rFonts w:ascii="Calibri" w:eastAsia="Times New Roman" w:hAnsi="Calibri" w:cs="Calibri"/>
          <w:color w:val="000000"/>
        </w:rPr>
        <w:t>Improved mentoring and support of staff</w:t>
      </w:r>
      <w:r>
        <w:rPr>
          <w:rFonts w:ascii="Calibri" w:eastAsia="Times New Roman" w:hAnsi="Calibri" w:cs="Calibri"/>
          <w:color w:val="000000"/>
        </w:rPr>
        <w:t xml:space="preserve">, </w:t>
      </w:r>
      <w:r w:rsidRPr="00EC60D8">
        <w:rPr>
          <w:rFonts w:ascii="Calibri" w:eastAsia="Times New Roman" w:hAnsi="Calibri" w:cs="Calibri"/>
          <w:color w:val="000000"/>
        </w:rPr>
        <w:t>Increased awareness and support for county based programs</w:t>
      </w:r>
      <w:r>
        <w:rPr>
          <w:rFonts w:ascii="Calibri" w:eastAsia="Times New Roman" w:hAnsi="Calibri" w:cs="Calibri"/>
          <w:color w:val="000000"/>
        </w:rPr>
        <w:t xml:space="preserve">, </w:t>
      </w:r>
      <w:r w:rsidRPr="00EC60D8">
        <w:rPr>
          <w:rFonts w:ascii="Calibri" w:eastAsia="Times New Roman" w:hAnsi="Calibri" w:cs="Calibri"/>
          <w:color w:val="000000"/>
        </w:rPr>
        <w:t>Increased UCCE Program Support and Development</w:t>
      </w:r>
      <w:r>
        <w:rPr>
          <w:rFonts w:ascii="Calibri" w:eastAsia="Times New Roman" w:hAnsi="Calibri" w:cs="Calibri"/>
          <w:color w:val="000000"/>
        </w:rPr>
        <w:t xml:space="preserve">, </w:t>
      </w:r>
      <w:r w:rsidRPr="00EC60D8">
        <w:rPr>
          <w:rFonts w:ascii="Calibri" w:eastAsia="Times New Roman" w:hAnsi="Calibri" w:cs="Calibri"/>
          <w:color w:val="000000"/>
        </w:rPr>
        <w:t>New Office Space after One Year of County Attempting to Place UCCE Contra Costa in Unsuitable Office Space</w:t>
      </w:r>
      <w:r>
        <w:rPr>
          <w:rFonts w:ascii="Calibri" w:eastAsia="Times New Roman" w:hAnsi="Calibri" w:cs="Calibri"/>
          <w:color w:val="000000"/>
        </w:rPr>
        <w:t xml:space="preserve">, </w:t>
      </w:r>
      <w:r w:rsidRPr="00EC60D8">
        <w:rPr>
          <w:rFonts w:ascii="Calibri" w:eastAsia="Times New Roman" w:hAnsi="Calibri" w:cs="Calibri"/>
          <w:color w:val="000000"/>
        </w:rPr>
        <w:t>Program Coordination</w:t>
      </w:r>
      <w:r>
        <w:rPr>
          <w:rFonts w:ascii="Calibri" w:eastAsia="Times New Roman" w:hAnsi="Calibri" w:cs="Calibri"/>
          <w:color w:val="000000"/>
        </w:rPr>
        <w:t xml:space="preserve"> (2), </w:t>
      </w:r>
      <w:r w:rsidRPr="00EC60D8">
        <w:rPr>
          <w:rFonts w:ascii="Calibri" w:eastAsia="Times New Roman" w:hAnsi="Calibri" w:cs="Calibri"/>
          <w:color w:val="000000"/>
        </w:rPr>
        <w:t>REC Director Administration</w:t>
      </w:r>
      <w:r>
        <w:rPr>
          <w:rFonts w:ascii="Calibri" w:eastAsia="Times New Roman" w:hAnsi="Calibri" w:cs="Calibri"/>
          <w:color w:val="000000"/>
        </w:rPr>
        <w:t xml:space="preserve">, </w:t>
      </w:r>
      <w:r w:rsidRPr="00EC60D8">
        <w:rPr>
          <w:rFonts w:ascii="Calibri" w:eastAsia="Times New Roman" w:hAnsi="Calibri" w:cs="Calibri"/>
          <w:color w:val="000000"/>
        </w:rPr>
        <w:t>Statewide Program Administrator</w:t>
      </w:r>
      <w:r>
        <w:rPr>
          <w:rFonts w:ascii="Calibri" w:eastAsia="Times New Roman" w:hAnsi="Calibri" w:cs="Calibri"/>
          <w:color w:val="000000"/>
        </w:rPr>
        <w:t>.</w:t>
      </w:r>
    </w:p>
    <w:p w14:paraId="530E574E" w14:textId="785BA254" w:rsidR="00EC60D8" w:rsidRPr="00DB1A6A" w:rsidRDefault="00EC60D8" w:rsidP="00DB1A6A">
      <w:pPr>
        <w:pStyle w:val="ListParagraph"/>
        <w:numPr>
          <w:ilvl w:val="0"/>
          <w:numId w:val="11"/>
        </w:numPr>
        <w:rPr>
          <w:rFonts w:ascii="Calibri" w:eastAsia="Times New Roman" w:hAnsi="Calibri" w:cs="Calibri"/>
          <w:color w:val="000000"/>
        </w:rPr>
      </w:pPr>
      <w:r w:rsidRPr="00EC60D8">
        <w:rPr>
          <w:rFonts w:ascii="Calibri" w:eastAsia="Times New Roman" w:hAnsi="Calibri" w:cs="Calibri"/>
          <w:b/>
          <w:color w:val="000000"/>
        </w:rPr>
        <w:t>Agricultural Production</w:t>
      </w:r>
      <w:r w:rsidR="00DB1A6A">
        <w:rPr>
          <w:rFonts w:ascii="Calibri" w:eastAsia="Times New Roman" w:hAnsi="Calibri" w:cs="Calibri"/>
          <w:color w:val="000000"/>
        </w:rPr>
        <w:t>: E</w:t>
      </w:r>
      <w:r w:rsidR="00DB1A6A" w:rsidRPr="00DB1A6A">
        <w:rPr>
          <w:rFonts w:ascii="Calibri" w:eastAsia="Times New Roman" w:hAnsi="Calibri" w:cs="Calibri"/>
          <w:color w:val="000000"/>
        </w:rPr>
        <w:t>nhanced knowledge of land tenure and land use</w:t>
      </w:r>
      <w:r w:rsidR="00DB1A6A">
        <w:rPr>
          <w:rFonts w:ascii="Calibri" w:eastAsia="Times New Roman" w:hAnsi="Calibri" w:cs="Calibri"/>
          <w:color w:val="000000"/>
        </w:rPr>
        <w:t xml:space="preserve">, </w:t>
      </w:r>
      <w:r w:rsidR="00DB1A6A" w:rsidRPr="00DB1A6A">
        <w:rPr>
          <w:rFonts w:ascii="Calibri" w:eastAsia="Times New Roman" w:hAnsi="Calibri" w:cs="Calibri"/>
          <w:color w:val="000000"/>
        </w:rPr>
        <w:t>Improve nutrient use efficiency</w:t>
      </w:r>
      <w:r w:rsidR="00DB1A6A">
        <w:rPr>
          <w:rFonts w:ascii="Calibri" w:eastAsia="Times New Roman" w:hAnsi="Calibri" w:cs="Calibri"/>
          <w:color w:val="000000"/>
        </w:rPr>
        <w:t xml:space="preserve">, </w:t>
      </w:r>
      <w:r w:rsidR="00DB1A6A" w:rsidRPr="00DB1A6A">
        <w:rPr>
          <w:rFonts w:ascii="Calibri" w:eastAsia="Times New Roman" w:hAnsi="Calibri" w:cs="Calibri"/>
          <w:color w:val="000000"/>
        </w:rPr>
        <w:t>Improved Crop Production</w:t>
      </w:r>
      <w:r w:rsidR="00DB1A6A">
        <w:rPr>
          <w:rFonts w:ascii="Calibri" w:eastAsia="Times New Roman" w:hAnsi="Calibri" w:cs="Calibri"/>
          <w:color w:val="000000"/>
        </w:rPr>
        <w:t xml:space="preserve">, </w:t>
      </w:r>
      <w:r w:rsidR="00DB1A6A" w:rsidRPr="00DB1A6A">
        <w:rPr>
          <w:rFonts w:ascii="Calibri" w:eastAsia="Times New Roman" w:hAnsi="Calibri" w:cs="Calibri"/>
          <w:color w:val="000000"/>
        </w:rPr>
        <w:t>Improved production practices</w:t>
      </w:r>
      <w:r w:rsidR="00DB1A6A">
        <w:rPr>
          <w:rFonts w:ascii="Calibri" w:eastAsia="Times New Roman" w:hAnsi="Calibri" w:cs="Calibri"/>
          <w:color w:val="000000"/>
        </w:rPr>
        <w:t xml:space="preserve">, </w:t>
      </w:r>
      <w:r w:rsidR="00DB1A6A" w:rsidRPr="00DB1A6A">
        <w:rPr>
          <w:rFonts w:ascii="Calibri" w:eastAsia="Times New Roman" w:hAnsi="Calibri" w:cs="Calibri"/>
          <w:color w:val="000000"/>
        </w:rPr>
        <w:t>Improved Urban Ag-Food Security Land Use Policies</w:t>
      </w:r>
      <w:r w:rsidR="00DB1A6A">
        <w:rPr>
          <w:rFonts w:ascii="Calibri" w:eastAsia="Times New Roman" w:hAnsi="Calibri" w:cs="Calibri"/>
          <w:color w:val="000000"/>
        </w:rPr>
        <w:t xml:space="preserve">, </w:t>
      </w:r>
      <w:r w:rsidR="00DB1A6A" w:rsidRPr="00DB1A6A">
        <w:rPr>
          <w:rFonts w:ascii="Calibri" w:eastAsia="Times New Roman" w:hAnsi="Calibri" w:cs="Calibri"/>
          <w:color w:val="000000"/>
        </w:rPr>
        <w:t>Increased agricultural efficiency, profitability and sustainability</w:t>
      </w:r>
      <w:r w:rsidR="00DB1A6A">
        <w:rPr>
          <w:rFonts w:ascii="Calibri" w:eastAsia="Times New Roman" w:hAnsi="Calibri" w:cs="Calibri"/>
          <w:color w:val="000000"/>
        </w:rPr>
        <w:t>.</w:t>
      </w:r>
    </w:p>
    <w:p w14:paraId="3B4D8783" w14:textId="116C1864" w:rsidR="00EC60D8" w:rsidRPr="00EC60D8" w:rsidRDefault="00EC60D8" w:rsidP="00DB1A6A">
      <w:pPr>
        <w:pStyle w:val="ListParagraph"/>
        <w:numPr>
          <w:ilvl w:val="0"/>
          <w:numId w:val="11"/>
        </w:numPr>
        <w:rPr>
          <w:rFonts w:ascii="Calibri" w:eastAsia="Times New Roman" w:hAnsi="Calibri" w:cs="Calibri"/>
          <w:b/>
          <w:color w:val="000000"/>
        </w:rPr>
      </w:pPr>
      <w:r w:rsidRPr="00EC60D8">
        <w:rPr>
          <w:rFonts w:ascii="Calibri" w:eastAsia="Times New Roman" w:hAnsi="Calibri" w:cs="Calibri"/>
          <w:b/>
          <w:color w:val="000000"/>
        </w:rPr>
        <w:t>Communications</w:t>
      </w:r>
      <w:r w:rsidR="00DB1A6A">
        <w:rPr>
          <w:rFonts w:ascii="Calibri" w:eastAsia="Times New Roman" w:hAnsi="Calibri" w:cs="Calibri"/>
          <w:color w:val="000000"/>
        </w:rPr>
        <w:t xml:space="preserve">: </w:t>
      </w:r>
      <w:r w:rsidR="00DB1A6A" w:rsidRPr="00DB1A6A">
        <w:rPr>
          <w:rFonts w:ascii="Calibri" w:eastAsia="Times New Roman" w:hAnsi="Calibri" w:cs="Calibri"/>
          <w:color w:val="000000"/>
        </w:rPr>
        <w:t xml:space="preserve">Communications </w:t>
      </w:r>
      <w:r w:rsidR="00DB1A6A">
        <w:rPr>
          <w:rFonts w:ascii="Calibri" w:eastAsia="Times New Roman" w:hAnsi="Calibri" w:cs="Calibri"/>
          <w:color w:val="000000"/>
        </w:rPr>
        <w:t>-</w:t>
      </w:r>
      <w:r w:rsidR="00DB1A6A" w:rsidRPr="00DB1A6A">
        <w:rPr>
          <w:rFonts w:ascii="Calibri" w:eastAsia="Times New Roman" w:hAnsi="Calibri" w:cs="Calibri"/>
          <w:color w:val="000000"/>
        </w:rPr>
        <w:t xml:space="preserve"> media</w:t>
      </w:r>
      <w:r w:rsidR="00DB1A6A">
        <w:rPr>
          <w:rFonts w:ascii="Calibri" w:eastAsia="Times New Roman" w:hAnsi="Calibri" w:cs="Calibri"/>
          <w:color w:val="000000"/>
        </w:rPr>
        <w:t>.</w:t>
      </w:r>
    </w:p>
    <w:p w14:paraId="5666FB8A" w14:textId="70EFBE62" w:rsidR="00EC60D8" w:rsidRPr="00DB1A6A" w:rsidRDefault="00EC60D8" w:rsidP="00DB1A6A">
      <w:pPr>
        <w:pStyle w:val="ListParagraph"/>
        <w:numPr>
          <w:ilvl w:val="0"/>
          <w:numId w:val="11"/>
        </w:numPr>
        <w:rPr>
          <w:rFonts w:ascii="Calibri" w:eastAsia="Times New Roman" w:hAnsi="Calibri" w:cs="Calibri"/>
          <w:color w:val="000000"/>
        </w:rPr>
      </w:pPr>
      <w:r w:rsidRPr="00EC60D8">
        <w:rPr>
          <w:rFonts w:ascii="Calibri" w:eastAsia="Times New Roman" w:hAnsi="Calibri" w:cs="Calibri"/>
          <w:b/>
          <w:color w:val="000000"/>
        </w:rPr>
        <w:t>Economic Prosperity</w:t>
      </w:r>
      <w:r w:rsidR="00DB1A6A">
        <w:rPr>
          <w:rFonts w:ascii="Calibri" w:eastAsia="Times New Roman" w:hAnsi="Calibri" w:cs="Calibri"/>
          <w:color w:val="000000"/>
        </w:rPr>
        <w:t xml:space="preserve">: </w:t>
      </w:r>
      <w:r w:rsidR="00DB1A6A" w:rsidRPr="00DB1A6A">
        <w:rPr>
          <w:rFonts w:ascii="Calibri" w:eastAsia="Times New Roman" w:hAnsi="Calibri" w:cs="Calibri"/>
          <w:color w:val="000000"/>
        </w:rPr>
        <w:t>Increased Utilization of Community-Ownership Models</w:t>
      </w:r>
      <w:r w:rsidR="00DB1A6A">
        <w:rPr>
          <w:rFonts w:ascii="Calibri" w:eastAsia="Times New Roman" w:hAnsi="Calibri" w:cs="Calibri"/>
          <w:color w:val="000000"/>
        </w:rPr>
        <w:t xml:space="preserve">, </w:t>
      </w:r>
      <w:r w:rsidR="00DB1A6A" w:rsidRPr="00DB1A6A">
        <w:rPr>
          <w:rFonts w:ascii="Calibri" w:eastAsia="Times New Roman" w:hAnsi="Calibri" w:cs="Calibri"/>
          <w:color w:val="000000"/>
        </w:rPr>
        <w:t>Optimized economic gain</w:t>
      </w:r>
      <w:r w:rsidR="00DB1A6A">
        <w:rPr>
          <w:rFonts w:ascii="Calibri" w:eastAsia="Times New Roman" w:hAnsi="Calibri" w:cs="Calibri"/>
          <w:color w:val="000000"/>
        </w:rPr>
        <w:t>.</w:t>
      </w:r>
    </w:p>
    <w:p w14:paraId="2F4CF0FE" w14:textId="3F512C2E" w:rsidR="00DB1A6A" w:rsidRPr="001933BE" w:rsidRDefault="00EC60D8" w:rsidP="001933BE">
      <w:pPr>
        <w:pStyle w:val="ListParagraph"/>
        <w:numPr>
          <w:ilvl w:val="0"/>
          <w:numId w:val="11"/>
        </w:numPr>
        <w:rPr>
          <w:rFonts w:ascii="Calibri" w:eastAsia="Times New Roman" w:hAnsi="Calibri" w:cs="Calibri"/>
          <w:color w:val="000000"/>
        </w:rPr>
      </w:pPr>
      <w:r w:rsidRPr="00EC60D8">
        <w:rPr>
          <w:rFonts w:ascii="Calibri" w:eastAsia="Times New Roman" w:hAnsi="Calibri" w:cs="Calibri"/>
          <w:b/>
          <w:color w:val="000000"/>
        </w:rPr>
        <w:t>Environmental Health</w:t>
      </w:r>
      <w:r w:rsidR="00DB1A6A" w:rsidRPr="00DB1A6A">
        <w:rPr>
          <w:rFonts w:ascii="Calibri" w:eastAsia="Times New Roman" w:hAnsi="Calibri" w:cs="Calibri"/>
          <w:color w:val="000000"/>
        </w:rPr>
        <w:t>: Decreased environmental footprint</w:t>
      </w:r>
      <w:r w:rsidR="00DB1A6A">
        <w:rPr>
          <w:rFonts w:ascii="Calibri" w:eastAsia="Times New Roman" w:hAnsi="Calibri" w:cs="Calibri"/>
          <w:color w:val="000000"/>
        </w:rPr>
        <w:t xml:space="preserve">, </w:t>
      </w:r>
      <w:r w:rsidR="00DB1A6A" w:rsidRPr="00DB1A6A">
        <w:rPr>
          <w:rFonts w:ascii="Calibri" w:eastAsia="Times New Roman" w:hAnsi="Calibri" w:cs="Calibri"/>
          <w:color w:val="000000"/>
        </w:rPr>
        <w:t>Improved ecosystem health and resilience</w:t>
      </w:r>
      <w:r w:rsidR="007C289B">
        <w:rPr>
          <w:rFonts w:ascii="Calibri" w:eastAsia="Times New Roman" w:hAnsi="Calibri" w:cs="Calibri"/>
          <w:color w:val="000000"/>
        </w:rPr>
        <w:t xml:space="preserve"> (2)</w:t>
      </w:r>
      <w:r w:rsidR="00DB1A6A">
        <w:rPr>
          <w:rFonts w:ascii="Calibri" w:eastAsia="Times New Roman" w:hAnsi="Calibri" w:cs="Calibri"/>
          <w:color w:val="000000"/>
        </w:rPr>
        <w:t>.</w:t>
      </w:r>
    </w:p>
    <w:p w14:paraId="36182525" w14:textId="1BBCA685" w:rsidR="005E4274" w:rsidRPr="00AA2AE3" w:rsidRDefault="005E4274" w:rsidP="00F50518">
      <w:pPr>
        <w:spacing w:after="0" w:line="240" w:lineRule="auto"/>
        <w:rPr>
          <w:rFonts w:cstheme="minorHAnsi"/>
          <w:b/>
          <w:sz w:val="28"/>
          <w:szCs w:val="32"/>
        </w:rPr>
      </w:pPr>
      <w:r w:rsidRPr="00AA2AE3">
        <w:rPr>
          <w:rFonts w:cstheme="minorHAnsi"/>
          <w:b/>
          <w:sz w:val="28"/>
          <w:szCs w:val="32"/>
        </w:rPr>
        <w:lastRenderedPageBreak/>
        <w:t>Appendix A: Additional condition change count analysis</w:t>
      </w:r>
    </w:p>
    <w:p w14:paraId="36F46DDD" w14:textId="77777777" w:rsidR="005E4274" w:rsidRDefault="005E4274" w:rsidP="00ED447C">
      <w:pPr>
        <w:spacing w:after="0"/>
        <w:rPr>
          <w:rFonts w:cstheme="minorHAnsi"/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6660"/>
      </w:tblGrid>
      <w:tr w:rsidR="005E4274" w:rsidRPr="005E4274" w14:paraId="67EF61A5" w14:textId="77777777" w:rsidTr="005E4274"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C5886" w14:textId="77777777" w:rsidR="005E4274" w:rsidRPr="005E4274" w:rsidRDefault="005E4274" w:rsidP="005E4274">
            <w:pPr>
              <w:spacing w:after="0"/>
              <w:rPr>
                <w:rFonts w:cstheme="minorHAnsi"/>
              </w:rPr>
            </w:pPr>
            <w:r w:rsidRPr="005E4274">
              <w:rPr>
                <w:rFonts w:cstheme="minorHAnsi"/>
              </w:rPr>
              <w:t>153</w:t>
            </w: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CDB22" w14:textId="77777777" w:rsidR="005E4274" w:rsidRPr="005E4274" w:rsidRDefault="005E4274" w:rsidP="005E4274">
            <w:pPr>
              <w:spacing w:after="0"/>
              <w:rPr>
                <w:rFonts w:cstheme="minorHAnsi"/>
              </w:rPr>
            </w:pPr>
            <w:r w:rsidRPr="005E4274">
              <w:rPr>
                <w:rFonts w:cstheme="minorHAnsi"/>
              </w:rPr>
              <w:t># of academics who selected 3 or more unique condition changes</w:t>
            </w:r>
          </w:p>
        </w:tc>
      </w:tr>
      <w:tr w:rsidR="005E4274" w:rsidRPr="005E4274" w14:paraId="55AC2431" w14:textId="77777777" w:rsidTr="005E4274"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1DCEB" w14:textId="77777777" w:rsidR="005E4274" w:rsidRPr="005E4274" w:rsidRDefault="005E4274" w:rsidP="005E4274">
            <w:pPr>
              <w:spacing w:after="0"/>
              <w:rPr>
                <w:rFonts w:cstheme="minorHAnsi"/>
              </w:rPr>
            </w:pPr>
            <w:r w:rsidRPr="005E4274">
              <w:rPr>
                <w:rFonts w:cstheme="minorHAnsi"/>
              </w:rPr>
              <w:t>56.88%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50561" w14:textId="77777777" w:rsidR="005E4274" w:rsidRPr="005E4274" w:rsidRDefault="005E4274" w:rsidP="005E4274">
            <w:pPr>
              <w:spacing w:after="0"/>
              <w:rPr>
                <w:rFonts w:cstheme="minorHAnsi"/>
              </w:rPr>
            </w:pPr>
            <w:r w:rsidRPr="005E4274">
              <w:rPr>
                <w:rFonts w:cstheme="minorHAnsi"/>
              </w:rPr>
              <w:t>% of 269 respondents</w:t>
            </w:r>
          </w:p>
        </w:tc>
      </w:tr>
      <w:tr w:rsidR="005E4274" w:rsidRPr="005E4274" w14:paraId="2C837501" w14:textId="77777777" w:rsidTr="005E4274"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5505B" w14:textId="77777777" w:rsidR="005E4274" w:rsidRPr="005E4274" w:rsidRDefault="005E4274" w:rsidP="005E4274">
            <w:pPr>
              <w:spacing w:after="0"/>
              <w:rPr>
                <w:rFonts w:cstheme="minorHAnsi"/>
              </w:rPr>
            </w:pPr>
            <w:r w:rsidRPr="005E4274">
              <w:rPr>
                <w:rFonts w:cstheme="minorHAnsi"/>
              </w:rPr>
              <w:t>3.078947368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883C2" w14:textId="77777777" w:rsidR="005E4274" w:rsidRPr="005E4274" w:rsidRDefault="005E4274" w:rsidP="005E4274">
            <w:pPr>
              <w:spacing w:after="0"/>
              <w:rPr>
                <w:rFonts w:cstheme="minorHAnsi"/>
              </w:rPr>
            </w:pPr>
            <w:r w:rsidRPr="005E4274">
              <w:rPr>
                <w:rFonts w:cstheme="minorHAnsi"/>
              </w:rPr>
              <w:t>mean # of condition changes selected</w:t>
            </w:r>
          </w:p>
        </w:tc>
      </w:tr>
      <w:tr w:rsidR="005E4274" w:rsidRPr="005E4274" w14:paraId="05293D75" w14:textId="77777777" w:rsidTr="005E4274"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C84CC" w14:textId="77777777" w:rsidR="005E4274" w:rsidRPr="005E4274" w:rsidRDefault="005E4274" w:rsidP="005E4274">
            <w:pPr>
              <w:spacing w:after="0"/>
              <w:rPr>
                <w:rFonts w:cstheme="minorHAnsi"/>
              </w:rPr>
            </w:pPr>
            <w:r w:rsidRPr="005E4274">
              <w:rPr>
                <w:rFonts w:cstheme="minorHAnsi"/>
              </w:rPr>
              <w:t>50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F735B" w14:textId="77777777" w:rsidR="005E4274" w:rsidRPr="005E4274" w:rsidRDefault="005E4274" w:rsidP="005E4274">
            <w:pPr>
              <w:spacing w:after="0"/>
              <w:rPr>
                <w:rFonts w:cstheme="minorHAnsi"/>
              </w:rPr>
            </w:pPr>
            <w:r w:rsidRPr="005E4274">
              <w:rPr>
                <w:rFonts w:cstheme="minorHAnsi"/>
              </w:rPr>
              <w:t># that selected 1 condition change</w:t>
            </w:r>
          </w:p>
        </w:tc>
      </w:tr>
      <w:tr w:rsidR="005E4274" w:rsidRPr="005E4274" w14:paraId="4FF64DA7" w14:textId="77777777" w:rsidTr="005E4274"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76B5A" w14:textId="77777777" w:rsidR="005E4274" w:rsidRPr="005E4274" w:rsidRDefault="005E4274" w:rsidP="005E4274">
            <w:pPr>
              <w:spacing w:after="0"/>
              <w:rPr>
                <w:rFonts w:cstheme="minorHAnsi"/>
              </w:rPr>
            </w:pPr>
            <w:r w:rsidRPr="005E4274">
              <w:rPr>
                <w:rFonts w:cstheme="minorHAnsi"/>
              </w:rPr>
              <w:t>63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E17DC" w14:textId="77777777" w:rsidR="005E4274" w:rsidRPr="005E4274" w:rsidRDefault="005E4274" w:rsidP="005E4274">
            <w:pPr>
              <w:spacing w:after="0"/>
              <w:rPr>
                <w:rFonts w:cstheme="minorHAnsi"/>
              </w:rPr>
            </w:pPr>
            <w:r w:rsidRPr="005E4274">
              <w:rPr>
                <w:rFonts w:cstheme="minorHAnsi"/>
              </w:rPr>
              <w:t># that selected 2 condition changes</w:t>
            </w:r>
          </w:p>
        </w:tc>
      </w:tr>
      <w:tr w:rsidR="005E4274" w:rsidRPr="005E4274" w14:paraId="4617D034" w14:textId="77777777" w:rsidTr="005E4274"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DEDE3" w14:textId="77777777" w:rsidR="005E4274" w:rsidRPr="005E4274" w:rsidRDefault="005E4274" w:rsidP="005E4274">
            <w:pPr>
              <w:spacing w:after="0"/>
              <w:rPr>
                <w:rFonts w:cstheme="minorHAnsi"/>
              </w:rPr>
            </w:pPr>
            <w:r w:rsidRPr="005E4274">
              <w:rPr>
                <w:rFonts w:cstheme="minorHAnsi"/>
              </w:rPr>
              <w:t>68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BFEB9" w14:textId="77777777" w:rsidR="005E4274" w:rsidRPr="005E4274" w:rsidRDefault="005E4274" w:rsidP="005E4274">
            <w:pPr>
              <w:spacing w:after="0"/>
              <w:rPr>
                <w:rFonts w:cstheme="minorHAnsi"/>
              </w:rPr>
            </w:pPr>
            <w:r w:rsidRPr="005E4274">
              <w:rPr>
                <w:rFonts w:cstheme="minorHAnsi"/>
              </w:rPr>
              <w:t># that selected 3 condition changes</w:t>
            </w:r>
          </w:p>
        </w:tc>
      </w:tr>
      <w:tr w:rsidR="005E4274" w:rsidRPr="005E4274" w14:paraId="45ECE0E8" w14:textId="77777777" w:rsidTr="005E4274"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B424B" w14:textId="77777777" w:rsidR="005E4274" w:rsidRPr="005E4274" w:rsidRDefault="005E4274" w:rsidP="005E4274">
            <w:pPr>
              <w:spacing w:after="0"/>
              <w:rPr>
                <w:rFonts w:cstheme="minorHAnsi"/>
              </w:rPr>
            </w:pPr>
            <w:r w:rsidRPr="005E4274">
              <w:rPr>
                <w:rFonts w:cstheme="minorHAnsi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0432" w14:textId="77777777" w:rsidR="005E4274" w:rsidRPr="005E4274" w:rsidRDefault="005E4274" w:rsidP="005E4274">
            <w:pPr>
              <w:spacing w:after="0"/>
              <w:rPr>
                <w:rFonts w:cstheme="minorHAnsi"/>
              </w:rPr>
            </w:pPr>
            <w:r w:rsidRPr="005E4274">
              <w:rPr>
                <w:rFonts w:cstheme="minorHAnsi"/>
              </w:rPr>
              <w:t># that selected 4 condition changes</w:t>
            </w:r>
          </w:p>
        </w:tc>
      </w:tr>
      <w:tr w:rsidR="005E4274" w:rsidRPr="005E4274" w14:paraId="7C2C6830" w14:textId="77777777" w:rsidTr="005E4274"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D0FF4" w14:textId="77777777" w:rsidR="005E4274" w:rsidRPr="005E4274" w:rsidRDefault="005E4274" w:rsidP="005E4274">
            <w:pPr>
              <w:spacing w:after="0"/>
              <w:rPr>
                <w:rFonts w:cstheme="minorHAnsi"/>
              </w:rPr>
            </w:pPr>
            <w:r w:rsidRPr="005E4274">
              <w:rPr>
                <w:rFonts w:cstheme="minorHAnsi"/>
              </w:rPr>
              <w:t>18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9DE27" w14:textId="77777777" w:rsidR="005E4274" w:rsidRPr="005E4274" w:rsidRDefault="005E4274" w:rsidP="005E4274">
            <w:pPr>
              <w:spacing w:after="0"/>
              <w:rPr>
                <w:rFonts w:cstheme="minorHAnsi"/>
              </w:rPr>
            </w:pPr>
            <w:r w:rsidRPr="005E4274">
              <w:rPr>
                <w:rFonts w:cstheme="minorHAnsi"/>
              </w:rPr>
              <w:t># that selected 5 condition changes</w:t>
            </w:r>
          </w:p>
        </w:tc>
      </w:tr>
      <w:tr w:rsidR="005E4274" w:rsidRPr="005E4274" w14:paraId="401F7933" w14:textId="77777777" w:rsidTr="005E4274"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5FA8A" w14:textId="77777777" w:rsidR="005E4274" w:rsidRPr="005E4274" w:rsidRDefault="005E4274" w:rsidP="005E4274">
            <w:pPr>
              <w:spacing w:after="0"/>
              <w:rPr>
                <w:rFonts w:cstheme="minorHAnsi"/>
              </w:rPr>
            </w:pPr>
            <w:r w:rsidRPr="005E4274">
              <w:rPr>
                <w:rFonts w:cstheme="minorHAnsi"/>
              </w:rPr>
              <w:t>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958C6" w14:textId="77777777" w:rsidR="005E4274" w:rsidRPr="005E4274" w:rsidRDefault="005E4274" w:rsidP="005E4274">
            <w:pPr>
              <w:spacing w:after="0"/>
              <w:rPr>
                <w:rFonts w:cstheme="minorHAnsi"/>
              </w:rPr>
            </w:pPr>
            <w:r w:rsidRPr="005E4274">
              <w:rPr>
                <w:rFonts w:cstheme="minorHAnsi"/>
              </w:rPr>
              <w:t># that selected 6 condition changes</w:t>
            </w:r>
          </w:p>
        </w:tc>
      </w:tr>
      <w:tr w:rsidR="005E4274" w:rsidRPr="005E4274" w14:paraId="4D3C7C14" w14:textId="77777777" w:rsidTr="005E4274"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96821" w14:textId="77777777" w:rsidR="005E4274" w:rsidRPr="005E4274" w:rsidRDefault="005E4274" w:rsidP="005E4274">
            <w:pPr>
              <w:spacing w:after="0"/>
              <w:rPr>
                <w:rFonts w:cstheme="minorHAnsi"/>
              </w:rPr>
            </w:pPr>
            <w:r w:rsidRPr="005E4274">
              <w:rPr>
                <w:rFonts w:cstheme="minorHAnsi"/>
              </w:rPr>
              <w:t>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C8238" w14:textId="77777777" w:rsidR="005E4274" w:rsidRPr="005E4274" w:rsidRDefault="005E4274" w:rsidP="005E4274">
            <w:pPr>
              <w:spacing w:after="0"/>
              <w:rPr>
                <w:rFonts w:cstheme="minorHAnsi"/>
              </w:rPr>
            </w:pPr>
            <w:r w:rsidRPr="005E4274">
              <w:rPr>
                <w:rFonts w:cstheme="minorHAnsi"/>
              </w:rPr>
              <w:t># that selected 7 condition changes</w:t>
            </w:r>
          </w:p>
        </w:tc>
      </w:tr>
      <w:tr w:rsidR="005E4274" w:rsidRPr="005E4274" w14:paraId="047D9711" w14:textId="77777777" w:rsidTr="005E4274"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0EE06" w14:textId="77777777" w:rsidR="005E4274" w:rsidRPr="005E4274" w:rsidRDefault="005E4274" w:rsidP="005E4274">
            <w:pPr>
              <w:spacing w:after="0"/>
              <w:rPr>
                <w:rFonts w:cstheme="minorHAnsi"/>
              </w:rPr>
            </w:pPr>
            <w:r w:rsidRPr="005E4274">
              <w:rPr>
                <w:rFonts w:cstheme="minorHAnsi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81F18" w14:textId="77777777" w:rsidR="005E4274" w:rsidRPr="005E4274" w:rsidRDefault="005E4274" w:rsidP="005E4274">
            <w:pPr>
              <w:spacing w:after="0"/>
              <w:rPr>
                <w:rFonts w:cstheme="minorHAnsi"/>
              </w:rPr>
            </w:pPr>
            <w:r w:rsidRPr="005E4274">
              <w:rPr>
                <w:rFonts w:cstheme="minorHAnsi"/>
              </w:rPr>
              <w:t># that selected 8 condition changes</w:t>
            </w:r>
          </w:p>
        </w:tc>
      </w:tr>
      <w:tr w:rsidR="005E4274" w:rsidRPr="005E4274" w14:paraId="3D02FCDE" w14:textId="77777777" w:rsidTr="005E4274"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91541" w14:textId="77777777" w:rsidR="005E4274" w:rsidRPr="005E4274" w:rsidRDefault="005E4274" w:rsidP="005E4274">
            <w:pPr>
              <w:spacing w:after="0"/>
              <w:rPr>
                <w:rFonts w:cstheme="minorHAnsi"/>
              </w:rPr>
            </w:pPr>
            <w:r w:rsidRPr="005E4274">
              <w:rPr>
                <w:rFonts w:cstheme="minorHAnsi"/>
              </w:rPr>
              <w:t>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153A7" w14:textId="77777777" w:rsidR="005E4274" w:rsidRPr="005E4274" w:rsidRDefault="005E4274" w:rsidP="005E4274">
            <w:pPr>
              <w:spacing w:after="0"/>
              <w:rPr>
                <w:rFonts w:cstheme="minorHAnsi"/>
              </w:rPr>
            </w:pPr>
            <w:r w:rsidRPr="005E4274">
              <w:rPr>
                <w:rFonts w:cstheme="minorHAnsi"/>
              </w:rPr>
              <w:t># that selected 9 condition changes</w:t>
            </w:r>
          </w:p>
        </w:tc>
      </w:tr>
      <w:tr w:rsidR="005E4274" w:rsidRPr="005E4274" w14:paraId="58EB7458" w14:textId="77777777" w:rsidTr="005E4274"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BAA43" w14:textId="77777777" w:rsidR="005E4274" w:rsidRPr="005E4274" w:rsidRDefault="005E4274" w:rsidP="005E4274">
            <w:pPr>
              <w:spacing w:after="0"/>
              <w:rPr>
                <w:rFonts w:cstheme="minorHAnsi"/>
              </w:rPr>
            </w:pPr>
            <w:r w:rsidRPr="005E4274">
              <w:rPr>
                <w:rFonts w:cstheme="minorHAnsi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FAF78" w14:textId="77777777" w:rsidR="005E4274" w:rsidRPr="005E4274" w:rsidRDefault="005E4274" w:rsidP="005E4274">
            <w:pPr>
              <w:spacing w:after="0"/>
              <w:rPr>
                <w:rFonts w:cstheme="minorHAnsi"/>
              </w:rPr>
            </w:pPr>
            <w:r w:rsidRPr="005E4274">
              <w:rPr>
                <w:rFonts w:cstheme="minorHAnsi"/>
              </w:rPr>
              <w:t># that selected 10 condition changes</w:t>
            </w:r>
          </w:p>
        </w:tc>
      </w:tr>
    </w:tbl>
    <w:p w14:paraId="1983BCA1" w14:textId="77777777" w:rsidR="005E4274" w:rsidRPr="00471F9F" w:rsidRDefault="005E4274" w:rsidP="00ED447C">
      <w:pPr>
        <w:spacing w:after="0"/>
        <w:rPr>
          <w:rFonts w:cstheme="minorHAnsi"/>
          <w:b/>
        </w:rPr>
      </w:pPr>
    </w:p>
    <w:p w14:paraId="20804356" w14:textId="77777777" w:rsidR="00471F9F" w:rsidRPr="00471F9F" w:rsidRDefault="00471F9F" w:rsidP="00ED447C">
      <w:pPr>
        <w:spacing w:after="0"/>
        <w:rPr>
          <w:rFonts w:cstheme="minorHAnsi"/>
          <w:b/>
        </w:rPr>
      </w:pPr>
    </w:p>
    <w:p w14:paraId="73A3F44F" w14:textId="77777777" w:rsidR="00562769" w:rsidRDefault="00562769" w:rsidP="00ED447C">
      <w:pPr>
        <w:spacing w:after="0"/>
        <w:rPr>
          <w:rFonts w:cstheme="minorHAnsi"/>
          <w:b/>
        </w:rPr>
      </w:pPr>
    </w:p>
    <w:p w14:paraId="0140A231" w14:textId="77777777" w:rsidR="00623441" w:rsidRDefault="00623441" w:rsidP="00ED447C">
      <w:pPr>
        <w:tabs>
          <w:tab w:val="left" w:pos="2010"/>
        </w:tabs>
        <w:spacing w:after="0" w:line="240" w:lineRule="auto"/>
        <w:rPr>
          <w:rFonts w:cstheme="minorHAnsi"/>
        </w:rPr>
      </w:pPr>
    </w:p>
    <w:sectPr w:rsidR="00623441" w:rsidSect="001F4C40">
      <w:headerReference w:type="default" r:id="rId9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11D71" w14:textId="77777777" w:rsidR="00A559D2" w:rsidRDefault="00A559D2" w:rsidP="00FE47E1">
      <w:pPr>
        <w:spacing w:after="0" w:line="240" w:lineRule="auto"/>
      </w:pPr>
      <w:r>
        <w:separator/>
      </w:r>
    </w:p>
  </w:endnote>
  <w:endnote w:type="continuationSeparator" w:id="0">
    <w:p w14:paraId="5BD62E5B" w14:textId="77777777" w:rsidR="00A559D2" w:rsidRDefault="00A559D2" w:rsidP="00FE4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FCEB4" w14:textId="77777777" w:rsidR="00A559D2" w:rsidRDefault="00A559D2" w:rsidP="00FE47E1">
      <w:pPr>
        <w:spacing w:after="0" w:line="240" w:lineRule="auto"/>
      </w:pPr>
      <w:r>
        <w:separator/>
      </w:r>
    </w:p>
  </w:footnote>
  <w:footnote w:type="continuationSeparator" w:id="0">
    <w:p w14:paraId="7F68398E" w14:textId="77777777" w:rsidR="00A559D2" w:rsidRDefault="00A559D2" w:rsidP="00FE4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0EF49" w14:textId="77777777" w:rsidR="00FE47E1" w:rsidRDefault="00FE47E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5257F4" wp14:editId="7305288B">
          <wp:simplePos x="0" y="0"/>
          <wp:positionH relativeFrom="column">
            <wp:posOffset>-1371600</wp:posOffset>
          </wp:positionH>
          <wp:positionV relativeFrom="paragraph">
            <wp:posOffset>-368300</wp:posOffset>
          </wp:positionV>
          <wp:extent cx="5715000" cy="8255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R_subbrands_horizontal_pla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825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7BB"/>
    <w:multiLevelType w:val="hybridMultilevel"/>
    <w:tmpl w:val="7A360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14873"/>
    <w:multiLevelType w:val="hybridMultilevel"/>
    <w:tmpl w:val="4D1E0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30E69"/>
    <w:multiLevelType w:val="hybridMultilevel"/>
    <w:tmpl w:val="1750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D2B05"/>
    <w:multiLevelType w:val="hybridMultilevel"/>
    <w:tmpl w:val="2E388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221E8"/>
    <w:multiLevelType w:val="hybridMultilevel"/>
    <w:tmpl w:val="1D3CE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21B32"/>
    <w:multiLevelType w:val="hybridMultilevel"/>
    <w:tmpl w:val="2D240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8147D"/>
    <w:multiLevelType w:val="hybridMultilevel"/>
    <w:tmpl w:val="800A9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A1136"/>
    <w:multiLevelType w:val="hybridMultilevel"/>
    <w:tmpl w:val="DDDAA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B2FE6"/>
    <w:multiLevelType w:val="hybridMultilevel"/>
    <w:tmpl w:val="1DC8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57D19"/>
    <w:multiLevelType w:val="hybridMultilevel"/>
    <w:tmpl w:val="E32EF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61247"/>
    <w:multiLevelType w:val="hybridMultilevel"/>
    <w:tmpl w:val="C25CB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34"/>
    <w:rsid w:val="00020AB3"/>
    <w:rsid w:val="00060441"/>
    <w:rsid w:val="000E087D"/>
    <w:rsid w:val="000E34C9"/>
    <w:rsid w:val="000E5D35"/>
    <w:rsid w:val="0014341A"/>
    <w:rsid w:val="00164785"/>
    <w:rsid w:val="001933BE"/>
    <w:rsid w:val="001A0659"/>
    <w:rsid w:val="001A1739"/>
    <w:rsid w:val="001A4147"/>
    <w:rsid w:val="001B3BEA"/>
    <w:rsid w:val="001B52A0"/>
    <w:rsid w:val="001E65F5"/>
    <w:rsid w:val="001F4C40"/>
    <w:rsid w:val="00214865"/>
    <w:rsid w:val="00284826"/>
    <w:rsid w:val="002C6BE9"/>
    <w:rsid w:val="002F62C8"/>
    <w:rsid w:val="00373254"/>
    <w:rsid w:val="00377259"/>
    <w:rsid w:val="003F7B25"/>
    <w:rsid w:val="004013FD"/>
    <w:rsid w:val="00426444"/>
    <w:rsid w:val="00437F4B"/>
    <w:rsid w:val="00465A06"/>
    <w:rsid w:val="00471F9F"/>
    <w:rsid w:val="00475B32"/>
    <w:rsid w:val="00485C61"/>
    <w:rsid w:val="00495365"/>
    <w:rsid w:val="004A6034"/>
    <w:rsid w:val="004B1E6D"/>
    <w:rsid w:val="004E7012"/>
    <w:rsid w:val="00542DC6"/>
    <w:rsid w:val="00562769"/>
    <w:rsid w:val="005641A5"/>
    <w:rsid w:val="00574399"/>
    <w:rsid w:val="0057632A"/>
    <w:rsid w:val="0058373C"/>
    <w:rsid w:val="00596138"/>
    <w:rsid w:val="005A0E50"/>
    <w:rsid w:val="005B03ED"/>
    <w:rsid w:val="005B6BAB"/>
    <w:rsid w:val="005E163D"/>
    <w:rsid w:val="005E4274"/>
    <w:rsid w:val="005E51F8"/>
    <w:rsid w:val="00623441"/>
    <w:rsid w:val="006347CF"/>
    <w:rsid w:val="00637A4B"/>
    <w:rsid w:val="006428CB"/>
    <w:rsid w:val="00644758"/>
    <w:rsid w:val="0066582E"/>
    <w:rsid w:val="00685485"/>
    <w:rsid w:val="0069394F"/>
    <w:rsid w:val="006F5813"/>
    <w:rsid w:val="006F6C28"/>
    <w:rsid w:val="0071119F"/>
    <w:rsid w:val="007126B1"/>
    <w:rsid w:val="007330E7"/>
    <w:rsid w:val="0077049A"/>
    <w:rsid w:val="0078409F"/>
    <w:rsid w:val="0078782D"/>
    <w:rsid w:val="007A7AEE"/>
    <w:rsid w:val="007C289B"/>
    <w:rsid w:val="007D7E3F"/>
    <w:rsid w:val="0082138C"/>
    <w:rsid w:val="00832354"/>
    <w:rsid w:val="008402F5"/>
    <w:rsid w:val="0086062E"/>
    <w:rsid w:val="00866B1B"/>
    <w:rsid w:val="00876C05"/>
    <w:rsid w:val="008C3366"/>
    <w:rsid w:val="008D085A"/>
    <w:rsid w:val="008E7C81"/>
    <w:rsid w:val="0091486F"/>
    <w:rsid w:val="00933DF2"/>
    <w:rsid w:val="00947774"/>
    <w:rsid w:val="00952C17"/>
    <w:rsid w:val="0096726E"/>
    <w:rsid w:val="00984247"/>
    <w:rsid w:val="00993C76"/>
    <w:rsid w:val="00997AC9"/>
    <w:rsid w:val="009E7A2B"/>
    <w:rsid w:val="00A25AFB"/>
    <w:rsid w:val="00A34197"/>
    <w:rsid w:val="00A35C38"/>
    <w:rsid w:val="00A559D2"/>
    <w:rsid w:val="00A673BD"/>
    <w:rsid w:val="00A7243F"/>
    <w:rsid w:val="00A76534"/>
    <w:rsid w:val="00A92BC4"/>
    <w:rsid w:val="00A94D7D"/>
    <w:rsid w:val="00AA2AE3"/>
    <w:rsid w:val="00AA5C39"/>
    <w:rsid w:val="00AF6355"/>
    <w:rsid w:val="00B11BE7"/>
    <w:rsid w:val="00B22B8F"/>
    <w:rsid w:val="00B94758"/>
    <w:rsid w:val="00BA40F9"/>
    <w:rsid w:val="00BC2BDD"/>
    <w:rsid w:val="00BC79E7"/>
    <w:rsid w:val="00BC7A73"/>
    <w:rsid w:val="00BD4E90"/>
    <w:rsid w:val="00BF7680"/>
    <w:rsid w:val="00C4159C"/>
    <w:rsid w:val="00C43E34"/>
    <w:rsid w:val="00C51DCD"/>
    <w:rsid w:val="00C54718"/>
    <w:rsid w:val="00D14A4A"/>
    <w:rsid w:val="00D20C40"/>
    <w:rsid w:val="00D21CB9"/>
    <w:rsid w:val="00D32210"/>
    <w:rsid w:val="00DB1A6A"/>
    <w:rsid w:val="00DE7A5D"/>
    <w:rsid w:val="00DF7DA7"/>
    <w:rsid w:val="00E46BAA"/>
    <w:rsid w:val="00E65398"/>
    <w:rsid w:val="00E83B2D"/>
    <w:rsid w:val="00E87D80"/>
    <w:rsid w:val="00EC60D8"/>
    <w:rsid w:val="00ED447C"/>
    <w:rsid w:val="00F14B8C"/>
    <w:rsid w:val="00F34F64"/>
    <w:rsid w:val="00F50518"/>
    <w:rsid w:val="00F63852"/>
    <w:rsid w:val="00F81817"/>
    <w:rsid w:val="00F87701"/>
    <w:rsid w:val="00FB33A1"/>
    <w:rsid w:val="00FC468D"/>
    <w:rsid w:val="00FE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31E39"/>
  <w15:docId w15:val="{3B36B63F-D69D-4317-AC73-593430DA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1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5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6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7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4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7E1"/>
  </w:style>
  <w:style w:type="paragraph" w:styleId="Footer">
    <w:name w:val="footer"/>
    <w:basedOn w:val="Normal"/>
    <w:link w:val="FooterChar"/>
    <w:uiPriority w:val="99"/>
    <w:unhideWhenUsed/>
    <w:rsid w:val="00FE4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7E1"/>
  </w:style>
  <w:style w:type="character" w:styleId="CommentReference">
    <w:name w:val="annotation reference"/>
    <w:basedOn w:val="DefaultParagraphFont"/>
    <w:uiPriority w:val="99"/>
    <w:semiHidden/>
    <w:unhideWhenUsed/>
    <w:rsid w:val="00712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6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6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6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6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p-irc-fs02\WorkGroup\oppe\Condition%20Change%20FTE\FFY18%20Project%20Board\ng.edits.Condition_Change_FTE_Prorated_SY2018_final_with_CGOwnerTyp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Full Time Equivalents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'CC FTE PVS'!$J$32</c:f>
              <c:strCache>
                <c:ptCount val="1"/>
                <c:pt idx="0">
                  <c:v>Full Time Equivalents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fld id="{98438BC4-18F5-4C4D-9EA8-B261CCE7242F}" type="VALUE">
                      <a:rPr lang="en-US" b="1"/>
                      <a:pPr/>
                      <a:t>[VALUE]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B9E5-4790-86B7-E4AE880E9B67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fld id="{F409EC12-409C-4A8F-9390-E98493D8F90A}" type="VALUE">
                      <a:rPr lang="en-US" b="1"/>
                      <a:pPr/>
                      <a:t>[VALUE]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B9E5-4790-86B7-E4AE880E9B67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fld id="{E876BA9D-2F48-4079-8857-69875D20EB94}" type="VALUE">
                      <a:rPr lang="en-US" b="1"/>
                      <a:pPr/>
                      <a:t>[VALUE]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B9E5-4790-86B7-E4AE880E9B67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fld id="{AAE05FE1-F8C1-46FC-A7E7-2897DA080420}" type="VALUE">
                      <a:rPr lang="en-US" b="1"/>
                      <a:pPr/>
                      <a:t>[VALUE]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B9E5-4790-86B7-E4AE880E9B67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fld id="{F2E6DBA9-C93A-4B08-AB30-6EE677AD34F6}" type="VALUE">
                      <a:rPr lang="en-US" b="1"/>
                      <a:pPr/>
                      <a:t>[VALUE]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B9E5-4790-86B7-E4AE880E9B67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fld id="{0C5F3723-801C-4615-B831-640E58B0ABBF}" type="VALUE">
                      <a:rPr lang="en-US" b="1"/>
                      <a:pPr/>
                      <a:t>[VALUE]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B9E5-4790-86B7-E4AE880E9B67}"/>
                </c:ext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fld id="{C3285D8D-039F-4317-895B-250947D530F5}" type="VALUE">
                      <a:rPr lang="en-US" b="1"/>
                      <a:pPr/>
                      <a:t>[VALUE]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B9E5-4790-86B7-E4AE880E9B6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'CC FTE PVS'!$I$33:$I$39</c:f>
              <c:strCache>
                <c:ptCount val="7"/>
                <c:pt idx="0">
                  <c:v>Economy</c:v>
                </c:pt>
                <c:pt idx="1">
                  <c:v>Food</c:v>
                </c:pt>
                <c:pt idx="2">
                  <c:v>Environments</c:v>
                </c:pt>
                <c:pt idx="3">
                  <c:v>Communities</c:v>
                </c:pt>
                <c:pt idx="4">
                  <c:v>Workforce</c:v>
                </c:pt>
                <c:pt idx="5">
                  <c:v>Climate-Resilient</c:v>
                </c:pt>
                <c:pt idx="6">
                  <c:v>Equitable Society</c:v>
                </c:pt>
              </c:strCache>
            </c:strRef>
          </c:cat>
          <c:val>
            <c:numRef>
              <c:f>'CC FTE PVS'!$J$33:$J$39</c:f>
              <c:numCache>
                <c:formatCode>General</c:formatCode>
                <c:ptCount val="7"/>
                <c:pt idx="0">
                  <c:v>68.2</c:v>
                </c:pt>
                <c:pt idx="1">
                  <c:v>21.36</c:v>
                </c:pt>
                <c:pt idx="2">
                  <c:v>88.7</c:v>
                </c:pt>
                <c:pt idx="3">
                  <c:v>32.54</c:v>
                </c:pt>
                <c:pt idx="4">
                  <c:v>21.76</c:v>
                </c:pt>
                <c:pt idx="5">
                  <c:v>5.54</c:v>
                </c:pt>
                <c:pt idx="6">
                  <c:v>3.44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9E5-4790-86B7-E4AE880E9B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07678920"/>
        <c:axId val="607680888"/>
      </c:barChart>
      <c:catAx>
        <c:axId val="607678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7680888"/>
        <c:crosses val="autoZero"/>
        <c:auto val="1"/>
        <c:lblAlgn val="ctr"/>
        <c:lblOffset val="100"/>
        <c:noMultiLvlLbl val="0"/>
      </c:catAx>
      <c:valAx>
        <c:axId val="607680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7678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B90C2-F779-4C1B-BE62-3EE5951AF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 Alviz</dc:creator>
  <cp:lastModifiedBy>Nilofar Gardezi (Contractor)</cp:lastModifiedBy>
  <cp:revision>3</cp:revision>
  <dcterms:created xsi:type="dcterms:W3CDTF">2019-01-29T18:44:00Z</dcterms:created>
  <dcterms:modified xsi:type="dcterms:W3CDTF">2019-01-29T18:47:00Z</dcterms:modified>
</cp:coreProperties>
</file>