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201A" w14:textId="3CF22DD1" w:rsidR="003C1C0D" w:rsidRPr="002717B4" w:rsidRDefault="003C1C0D" w:rsidP="0061758E">
      <w:pPr>
        <w:spacing w:after="0" w:line="240" w:lineRule="auto"/>
        <w:jc w:val="center"/>
        <w:rPr>
          <w:sz w:val="28"/>
          <w:szCs w:val="28"/>
        </w:rPr>
      </w:pPr>
    </w:p>
    <w:p w14:paraId="08C9BB37" w14:textId="3816816D" w:rsidR="003D1518" w:rsidRPr="001A167A" w:rsidRDefault="003D1518" w:rsidP="003D151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A167A">
        <w:rPr>
          <w:b/>
          <w:bCs/>
          <w:sz w:val="32"/>
          <w:szCs w:val="32"/>
        </w:rPr>
        <w:t>UC ANR Community Educators</w:t>
      </w:r>
      <w:r w:rsidR="001A167A">
        <w:rPr>
          <w:b/>
          <w:bCs/>
          <w:sz w:val="32"/>
          <w:szCs w:val="32"/>
        </w:rPr>
        <w:t xml:space="preserve">’ </w:t>
      </w:r>
      <w:r w:rsidRPr="001A167A">
        <w:rPr>
          <w:b/>
          <w:bCs/>
          <w:sz w:val="32"/>
          <w:szCs w:val="32"/>
        </w:rPr>
        <w:t>Condition Change FTE</w:t>
      </w:r>
      <w:r w:rsidR="001A167A" w:rsidRPr="001A167A">
        <w:rPr>
          <w:b/>
          <w:bCs/>
          <w:sz w:val="32"/>
          <w:szCs w:val="32"/>
        </w:rPr>
        <w:t xml:space="preserve"> for SFY 2022</w:t>
      </w:r>
    </w:p>
    <w:p w14:paraId="3E1FD30B" w14:textId="77777777" w:rsidR="003D1518" w:rsidRDefault="003D1518" w:rsidP="003D1518">
      <w:pPr>
        <w:pStyle w:val="ListParagraph"/>
        <w:spacing w:after="0" w:line="240" w:lineRule="auto"/>
      </w:pPr>
    </w:p>
    <w:p w14:paraId="2BDAF7C5" w14:textId="77777777" w:rsidR="005169E2" w:rsidRDefault="005169E2" w:rsidP="003D1518">
      <w:pPr>
        <w:spacing w:after="0" w:line="240" w:lineRule="auto"/>
      </w:pPr>
    </w:p>
    <w:p w14:paraId="65F03153" w14:textId="684EA348" w:rsidR="003D1518" w:rsidRDefault="003D1518" w:rsidP="003D1518">
      <w:pPr>
        <w:spacing w:after="0" w:line="240" w:lineRule="auto"/>
      </w:pPr>
      <w:r w:rsidRPr="00BF7906">
        <w:t xml:space="preserve">In </w:t>
      </w:r>
      <w:r w:rsidRPr="00D64B3E">
        <w:t>July 202</w:t>
      </w:r>
      <w:r>
        <w:t>2</w:t>
      </w:r>
      <w:r w:rsidRPr="00BF7906">
        <w:t xml:space="preserve">, UC ANR collected </w:t>
      </w:r>
      <w:r>
        <w:t xml:space="preserve">a </w:t>
      </w:r>
      <w:r w:rsidR="00D843A7">
        <w:t>fifth</w:t>
      </w:r>
      <w:r>
        <w:t xml:space="preserve"> year of full time equivalent (FTE) </w:t>
      </w:r>
      <w:r w:rsidRPr="00BF7906">
        <w:t>Community Educat</w:t>
      </w:r>
      <w:r>
        <w:t>ors’</w:t>
      </w:r>
      <w:r w:rsidRPr="00BF7906">
        <w:t xml:space="preserve"> </w:t>
      </w:r>
      <w:r>
        <w:t xml:space="preserve">(CES) effort towards UC ANR condition changes, </w:t>
      </w:r>
      <w:r w:rsidRPr="00365FBD">
        <w:t xml:space="preserve">for the </w:t>
      </w:r>
      <w:r w:rsidRPr="003D1518">
        <w:rPr>
          <w:u w:val="single"/>
        </w:rPr>
        <w:t>state fiscal year (SFY) 2021-2022 (7/1/21-6/30/22)</w:t>
      </w:r>
      <w:r w:rsidRPr="00365FBD">
        <w:t>.</w:t>
      </w:r>
      <w:r>
        <w:t xml:space="preserve">  </w:t>
      </w:r>
      <w:r w:rsidRPr="00BF7906">
        <w:t xml:space="preserve">This effort was undertaken </w:t>
      </w:r>
      <w:proofErr w:type="gramStart"/>
      <w:r w:rsidRPr="00BF7906">
        <w:t>in order to</w:t>
      </w:r>
      <w:proofErr w:type="gramEnd"/>
      <w:r w:rsidRPr="00BF7906">
        <w:t xml:space="preserve"> understand how Community Educat</w:t>
      </w:r>
      <w:r w:rsidR="00D62CD6">
        <w:t>ors’</w:t>
      </w:r>
      <w:r w:rsidRPr="00BF7906">
        <w:t xml:space="preserve"> </w:t>
      </w:r>
      <w:r w:rsidRPr="00C342CA">
        <w:t xml:space="preserve">efforts contribute toward </w:t>
      </w:r>
      <w:r>
        <w:t xml:space="preserve">UC ANR </w:t>
      </w:r>
      <w:r w:rsidRPr="00C342CA">
        <w:t>condition changes</w:t>
      </w:r>
      <w:r>
        <w:t>.</w:t>
      </w:r>
      <w:r w:rsidRPr="00C342CA">
        <w:t xml:space="preserve"> </w:t>
      </w:r>
      <w:r>
        <w:t xml:space="preserve"> In June 202</w:t>
      </w:r>
      <w:r w:rsidR="00B46D3B">
        <w:t>2</w:t>
      </w:r>
      <w:r>
        <w:t>, 2</w:t>
      </w:r>
      <w:r w:rsidR="00DC1F92">
        <w:t>48</w:t>
      </w:r>
      <w:r w:rsidRPr="00450CE8">
        <w:t xml:space="preserve"> CES</w:t>
      </w:r>
      <w:r w:rsidRPr="003B4F05">
        <w:t xml:space="preserve"> </w:t>
      </w:r>
      <w:r w:rsidRPr="00D64B3E">
        <w:t xml:space="preserve">who are in UC Path and are UC ANR paid employees received the survey. </w:t>
      </w:r>
      <w:r w:rsidRPr="003B4F05">
        <w:t xml:space="preserve">A total of </w:t>
      </w:r>
      <w:r w:rsidR="00DC1F92">
        <w:t>95</w:t>
      </w:r>
      <w:r w:rsidRPr="003B4F05">
        <w:t xml:space="preserve"> </w:t>
      </w:r>
      <w:r>
        <w:t xml:space="preserve">complete </w:t>
      </w:r>
      <w:r w:rsidRPr="003B4F05">
        <w:t xml:space="preserve">responses were collected, which is a response rate of </w:t>
      </w:r>
      <w:r w:rsidR="00DC1F92">
        <w:t>38</w:t>
      </w:r>
      <w:r w:rsidRPr="00C150A7">
        <w:t>%</w:t>
      </w:r>
      <w:r w:rsidRPr="003B4F05">
        <w:t>.</w:t>
      </w:r>
      <w:r>
        <w:t xml:space="preserve"> </w:t>
      </w:r>
    </w:p>
    <w:p w14:paraId="4AA11F4F" w14:textId="77777777" w:rsidR="003D1518" w:rsidRPr="003D1518" w:rsidRDefault="003D1518" w:rsidP="003D1518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138981B" w14:textId="77777777" w:rsidR="005169E2" w:rsidRDefault="005169E2" w:rsidP="003D1518">
      <w:pPr>
        <w:spacing w:after="0" w:line="240" w:lineRule="auto"/>
        <w:rPr>
          <w:b/>
          <w:sz w:val="24"/>
          <w:szCs w:val="24"/>
        </w:rPr>
      </w:pPr>
    </w:p>
    <w:p w14:paraId="223AF198" w14:textId="42EA61BF" w:rsidR="003D1518" w:rsidRDefault="003D1518" w:rsidP="003D1518">
      <w:pPr>
        <w:spacing w:after="0" w:line="240" w:lineRule="auto"/>
        <w:rPr>
          <w:b/>
          <w:sz w:val="24"/>
          <w:szCs w:val="24"/>
        </w:rPr>
      </w:pPr>
      <w:r w:rsidRPr="003D1518">
        <w:rPr>
          <w:b/>
          <w:sz w:val="24"/>
          <w:szCs w:val="24"/>
        </w:rPr>
        <w:t>Findings from 5-year Comparison</w:t>
      </w:r>
    </w:p>
    <w:p w14:paraId="34B4ACC9" w14:textId="77777777" w:rsidR="005169E2" w:rsidRPr="003D1518" w:rsidRDefault="005169E2" w:rsidP="003D1518">
      <w:pPr>
        <w:spacing w:after="0" w:line="240" w:lineRule="auto"/>
        <w:rPr>
          <w:b/>
          <w:color w:val="FF0000"/>
          <w:sz w:val="24"/>
          <w:szCs w:val="24"/>
        </w:rPr>
      </w:pPr>
    </w:p>
    <w:p w14:paraId="56872AE9" w14:textId="13300872" w:rsidR="008B5A18" w:rsidRDefault="009933AF" w:rsidP="00982225">
      <w:pPr>
        <w:pStyle w:val="ListParagraph"/>
        <w:numPr>
          <w:ilvl w:val="0"/>
          <w:numId w:val="20"/>
        </w:numPr>
        <w:ind w:left="360"/>
      </w:pPr>
      <w:bookmarkStart w:id="0" w:name="_Hlk127371143"/>
      <w:r>
        <w:t>The response</w:t>
      </w:r>
      <w:r w:rsidR="008B5A18">
        <w:t xml:space="preserve"> rate </w:t>
      </w:r>
      <w:r>
        <w:t>for 2022 (</w:t>
      </w:r>
      <w:r w:rsidR="008B5A18">
        <w:t>38%</w:t>
      </w:r>
      <w:r>
        <w:t xml:space="preserve">) </w:t>
      </w:r>
      <w:r w:rsidR="008B5A18">
        <w:t>is a marked decrease from 2021 (53%</w:t>
      </w:r>
      <w:r w:rsidR="001A167A">
        <w:t>) and</w:t>
      </w:r>
      <w:r w:rsidR="008B5A18">
        <w:t xml:space="preserve"> is lower than the </w:t>
      </w:r>
      <w:r>
        <w:t>r</w:t>
      </w:r>
      <w:r w:rsidR="008B5A18">
        <w:t xml:space="preserve">esponse rate </w:t>
      </w:r>
      <w:r>
        <w:t xml:space="preserve">for 2018 </w:t>
      </w:r>
      <w:r w:rsidR="008B5A18">
        <w:t>(44%).</w:t>
      </w:r>
    </w:p>
    <w:bookmarkEnd w:id="0"/>
    <w:p w14:paraId="34C0BF94" w14:textId="77777777" w:rsidR="005169E2" w:rsidRDefault="005169E2" w:rsidP="005169E2">
      <w:pPr>
        <w:pStyle w:val="ListParagraph"/>
        <w:ind w:left="360"/>
      </w:pPr>
    </w:p>
    <w:p w14:paraId="551F2A23" w14:textId="20223329" w:rsidR="00C3150B" w:rsidRDefault="00E86854" w:rsidP="00982225">
      <w:pPr>
        <w:pStyle w:val="ListParagraph"/>
        <w:numPr>
          <w:ilvl w:val="0"/>
          <w:numId w:val="19"/>
        </w:numPr>
        <w:tabs>
          <w:tab w:val="left" w:pos="2010"/>
        </w:tabs>
        <w:spacing w:after="0" w:line="240" w:lineRule="auto"/>
        <w:ind w:left="360"/>
        <w:rPr>
          <w:noProof/>
        </w:rPr>
      </w:pPr>
      <w:r w:rsidRPr="00982225">
        <w:rPr>
          <w:noProof/>
        </w:rPr>
        <w:t xml:space="preserve">There </w:t>
      </w:r>
      <w:r w:rsidR="006A4156">
        <w:rPr>
          <w:noProof/>
        </w:rPr>
        <w:t xml:space="preserve">have not not been </w:t>
      </w:r>
      <w:r w:rsidR="00F74882" w:rsidRPr="00982225">
        <w:rPr>
          <w:noProof/>
        </w:rPr>
        <w:t>significant ch</w:t>
      </w:r>
      <w:r w:rsidRPr="00982225">
        <w:rPr>
          <w:noProof/>
        </w:rPr>
        <w:t>a</w:t>
      </w:r>
      <w:r w:rsidR="00F74882" w:rsidRPr="00982225">
        <w:rPr>
          <w:noProof/>
        </w:rPr>
        <w:t>n</w:t>
      </w:r>
      <w:r w:rsidRPr="00982225">
        <w:rPr>
          <w:noProof/>
        </w:rPr>
        <w:t xml:space="preserve">ges in </w:t>
      </w:r>
      <w:r w:rsidR="00D62CD6">
        <w:rPr>
          <w:noProof/>
        </w:rPr>
        <w:t>Community Educators’</w:t>
      </w:r>
      <w:r w:rsidR="00F74882" w:rsidRPr="00982225">
        <w:rPr>
          <w:noProof/>
        </w:rPr>
        <w:t xml:space="preserve"> </w:t>
      </w:r>
      <w:r w:rsidRPr="00982225">
        <w:rPr>
          <w:noProof/>
        </w:rPr>
        <w:t>effort towards UC ANR condition cha</w:t>
      </w:r>
      <w:r w:rsidR="00F74882" w:rsidRPr="00982225">
        <w:rPr>
          <w:noProof/>
        </w:rPr>
        <w:t>n</w:t>
      </w:r>
      <w:r w:rsidRPr="00982225">
        <w:rPr>
          <w:noProof/>
        </w:rPr>
        <w:t>ges between 2018 and 2021</w:t>
      </w:r>
      <w:r w:rsidR="00982225">
        <w:rPr>
          <w:noProof/>
        </w:rPr>
        <w:t xml:space="preserve"> </w:t>
      </w:r>
      <w:r w:rsidR="00982225" w:rsidRPr="0089506A">
        <w:t>(see Table 1).</w:t>
      </w:r>
      <w:r w:rsidR="00C3150B">
        <w:t xml:space="preserve">  Changes of greater than 5% since 2018 occurred within the following UC ANR Public Values:</w:t>
      </w:r>
    </w:p>
    <w:p w14:paraId="4564335D" w14:textId="5D04A4E1" w:rsidR="004C751A" w:rsidRPr="0055541C" w:rsidRDefault="00C3150B" w:rsidP="004C751A">
      <w:pPr>
        <w:pStyle w:val="ListParagraph"/>
        <w:numPr>
          <w:ilvl w:val="1"/>
          <w:numId w:val="19"/>
        </w:numPr>
        <w:tabs>
          <w:tab w:val="left" w:pos="2010"/>
        </w:tabs>
        <w:spacing w:after="0" w:line="240" w:lineRule="auto"/>
        <w:rPr>
          <w:noProof/>
        </w:rPr>
      </w:pPr>
      <w:r w:rsidRPr="0055541C">
        <w:rPr>
          <w:rFonts w:ascii="Calibri" w:eastAsia="Times New Roman" w:hAnsi="Calibri" w:cs="Calibri"/>
          <w:bCs/>
          <w:i/>
        </w:rPr>
        <w:t>Promoting healthy people and communities</w:t>
      </w:r>
      <w:r w:rsidRPr="0055541C">
        <w:rPr>
          <w:rFonts w:ascii="Calibri" w:eastAsia="Times New Roman" w:hAnsi="Calibri" w:cs="Calibri"/>
          <w:bCs/>
          <w:iCs/>
        </w:rPr>
        <w:t xml:space="preserve">:  There is a 5.8% decrease in effort toward </w:t>
      </w:r>
      <w:r w:rsidRPr="0055541C">
        <w:rPr>
          <w:rFonts w:ascii="Calibri" w:eastAsia="Times New Roman" w:hAnsi="Calibri" w:cs="Calibri"/>
          <w:i/>
        </w:rPr>
        <w:t>Improved community health and wellness</w:t>
      </w:r>
      <w:r w:rsidRPr="0055541C">
        <w:rPr>
          <w:rFonts w:ascii="Calibri" w:eastAsia="Times New Roman" w:hAnsi="Calibri" w:cs="Calibri"/>
          <w:iCs/>
        </w:rPr>
        <w:t xml:space="preserve"> since 2018; however, there was a 3.3% increase since 2021.</w:t>
      </w:r>
      <w:r w:rsidR="00B97F4E" w:rsidRPr="0055541C">
        <w:rPr>
          <w:rFonts w:ascii="Calibri" w:eastAsia="Times New Roman" w:hAnsi="Calibri" w:cs="Calibri"/>
          <w:iCs/>
        </w:rPr>
        <w:t xml:space="preserve"> </w:t>
      </w:r>
      <w:r w:rsidR="002D7C3A" w:rsidRPr="0055541C">
        <w:rPr>
          <w:rFonts w:ascii="Calibri" w:eastAsia="Times New Roman" w:hAnsi="Calibri" w:cs="Calibri"/>
          <w:iCs/>
        </w:rPr>
        <w:t xml:space="preserve">The overall decrease in this </w:t>
      </w:r>
      <w:proofErr w:type="gramStart"/>
      <w:r w:rsidR="002D7C3A" w:rsidRPr="0055541C">
        <w:rPr>
          <w:rFonts w:ascii="Calibri" w:eastAsia="Times New Roman" w:hAnsi="Calibri" w:cs="Calibri"/>
          <w:iCs/>
        </w:rPr>
        <w:t>particular condition</w:t>
      </w:r>
      <w:proofErr w:type="gramEnd"/>
      <w:r w:rsidR="002D7C3A" w:rsidRPr="0055541C">
        <w:rPr>
          <w:rFonts w:ascii="Calibri" w:eastAsia="Times New Roman" w:hAnsi="Calibri" w:cs="Calibri"/>
          <w:iCs/>
        </w:rPr>
        <w:t xml:space="preserve"> change from 2018 </w:t>
      </w:r>
      <w:r w:rsidR="004C751A" w:rsidRPr="0055541C">
        <w:rPr>
          <w:rFonts w:ascii="Calibri" w:eastAsia="Times New Roman" w:hAnsi="Calibri" w:cs="Calibri"/>
          <w:iCs/>
        </w:rPr>
        <w:t>could be attributed to the</w:t>
      </w:r>
      <w:r w:rsidR="002D7C3A" w:rsidRPr="0055541C">
        <w:rPr>
          <w:rFonts w:ascii="Calibri" w:eastAsia="Times New Roman" w:hAnsi="Calibri" w:cs="Calibri"/>
          <w:iCs/>
        </w:rPr>
        <w:t xml:space="preserve"> significantly fewer </w:t>
      </w:r>
      <w:r w:rsidR="004C751A" w:rsidRPr="0055541C">
        <w:rPr>
          <w:rFonts w:ascii="Calibri" w:eastAsia="Times New Roman" w:hAnsi="Calibri" w:cs="Calibri"/>
          <w:iCs/>
        </w:rPr>
        <w:t xml:space="preserve">total number of CES working in nutrition programs. </w:t>
      </w:r>
    </w:p>
    <w:p w14:paraId="61F4D6C4" w14:textId="4E3ED016" w:rsidR="003A5FA3" w:rsidRPr="0055541C" w:rsidRDefault="003A5FA3" w:rsidP="004C751A">
      <w:pPr>
        <w:pStyle w:val="ListParagraph"/>
        <w:numPr>
          <w:ilvl w:val="1"/>
          <w:numId w:val="19"/>
        </w:numPr>
        <w:tabs>
          <w:tab w:val="left" w:pos="2010"/>
        </w:tabs>
        <w:spacing w:after="0" w:line="240" w:lineRule="auto"/>
        <w:rPr>
          <w:noProof/>
        </w:rPr>
      </w:pPr>
      <w:r w:rsidRPr="0055541C">
        <w:rPr>
          <w:rFonts w:ascii="Calibri" w:eastAsia="Times New Roman" w:hAnsi="Calibri" w:cs="Calibri"/>
          <w:bCs/>
          <w:i/>
        </w:rPr>
        <w:t>Developing a qualified workforce for California</w:t>
      </w:r>
      <w:r w:rsidRPr="0055541C">
        <w:rPr>
          <w:rFonts w:ascii="Calibri" w:eastAsia="Times New Roman" w:hAnsi="Calibri" w:cs="Calibri"/>
          <w:bCs/>
          <w:iCs/>
        </w:rPr>
        <w:t>:  There was a 6% decrease in combined efforts of all condition changes within this Public Value since 2018.</w:t>
      </w:r>
      <w:r w:rsidR="00B97F4E" w:rsidRPr="0055541C">
        <w:rPr>
          <w:rFonts w:ascii="Calibri" w:eastAsia="Times New Roman" w:hAnsi="Calibri" w:cs="Calibri"/>
          <w:bCs/>
          <w:iCs/>
        </w:rPr>
        <w:t xml:space="preserve"> </w:t>
      </w:r>
      <w:r w:rsidR="004C751A" w:rsidRPr="0055541C">
        <w:rPr>
          <w:rFonts w:ascii="Calibri" w:eastAsia="Times New Roman" w:hAnsi="Calibri" w:cs="Calibri"/>
          <w:iCs/>
        </w:rPr>
        <w:t>This could be attributed to the overall dec</w:t>
      </w:r>
      <w:r w:rsidR="004E0950" w:rsidRPr="0055541C">
        <w:rPr>
          <w:rFonts w:ascii="Calibri" w:eastAsia="Times New Roman" w:hAnsi="Calibri" w:cs="Calibri"/>
          <w:iCs/>
        </w:rPr>
        <w:t xml:space="preserve">rease </w:t>
      </w:r>
      <w:r w:rsidR="004C751A" w:rsidRPr="0055541C">
        <w:rPr>
          <w:rFonts w:ascii="Calibri" w:eastAsia="Times New Roman" w:hAnsi="Calibri" w:cs="Calibri"/>
          <w:iCs/>
        </w:rPr>
        <w:t>in the total number of CES working in the 4-H Youth Development Program, which focus</w:t>
      </w:r>
      <w:r w:rsidR="004E0950" w:rsidRPr="0055541C">
        <w:rPr>
          <w:rFonts w:ascii="Calibri" w:eastAsia="Times New Roman" w:hAnsi="Calibri" w:cs="Calibri"/>
          <w:iCs/>
        </w:rPr>
        <w:t>es</w:t>
      </w:r>
      <w:r w:rsidR="004C751A" w:rsidRPr="0055541C">
        <w:rPr>
          <w:rFonts w:ascii="Calibri" w:eastAsia="Times New Roman" w:hAnsi="Calibri" w:cs="Calibri"/>
          <w:iCs/>
        </w:rPr>
        <w:t xml:space="preserve"> a lot of programming on the following three of the four condition changes under this public value umbrella: increased effective public leaders, improved college readiness and access, and increased civic engagement.</w:t>
      </w:r>
    </w:p>
    <w:p w14:paraId="5FBCD675" w14:textId="77777777" w:rsidR="005169E2" w:rsidRPr="004C751A" w:rsidRDefault="005169E2" w:rsidP="005169E2">
      <w:pPr>
        <w:pStyle w:val="ListParagraph"/>
        <w:tabs>
          <w:tab w:val="left" w:pos="2010"/>
        </w:tabs>
        <w:spacing w:after="0" w:line="240" w:lineRule="auto"/>
        <w:ind w:left="1440"/>
        <w:rPr>
          <w:noProof/>
        </w:rPr>
      </w:pPr>
    </w:p>
    <w:p w14:paraId="23F5392F" w14:textId="6A7C37CB" w:rsidR="00B3436D" w:rsidRDefault="004A0B6A" w:rsidP="00982225">
      <w:pPr>
        <w:pStyle w:val="ListParagraph"/>
        <w:numPr>
          <w:ilvl w:val="0"/>
          <w:numId w:val="19"/>
        </w:numPr>
        <w:tabs>
          <w:tab w:val="left" w:pos="2010"/>
        </w:tabs>
        <w:spacing w:after="0" w:line="240" w:lineRule="auto"/>
        <w:ind w:left="360"/>
        <w:rPr>
          <w:noProof/>
        </w:rPr>
      </w:pPr>
      <w:r w:rsidRPr="00982225">
        <w:t xml:space="preserve">There is an increase in </w:t>
      </w:r>
      <w:r w:rsidR="00D62CD6">
        <w:t xml:space="preserve">the percentage of </w:t>
      </w:r>
      <w:r w:rsidR="00DC2E5F">
        <w:t>respondents</w:t>
      </w:r>
      <w:r w:rsidR="005238A4" w:rsidRPr="00982225">
        <w:t xml:space="preserve"> who</w:t>
      </w:r>
      <w:r w:rsidRPr="00982225">
        <w:t xml:space="preserve"> selected one to three UC ANR condition changes</w:t>
      </w:r>
      <w:r w:rsidR="00820C17">
        <w:t xml:space="preserve"> </w:t>
      </w:r>
      <w:r w:rsidR="001D4061">
        <w:t xml:space="preserve">since 2018, but a slight decrease since 2021 </w:t>
      </w:r>
      <w:r w:rsidR="00820C17" w:rsidRPr="00C76DF6">
        <w:t>(see Table 2).</w:t>
      </w:r>
      <w:r w:rsidR="002717B4" w:rsidRPr="00C76DF6">
        <w:t xml:space="preserve"> The mean </w:t>
      </w:r>
      <w:r w:rsidR="00820C17">
        <w:t xml:space="preserve">of </w:t>
      </w:r>
      <w:r w:rsidR="002717B4" w:rsidRPr="00C76DF6">
        <w:t xml:space="preserve">UC ANR condition changes selected decreased from </w:t>
      </w:r>
      <w:r w:rsidR="00B3436D">
        <w:t>4.1 to 3.6 (round</w:t>
      </w:r>
      <w:r w:rsidR="002717B4" w:rsidRPr="00C76DF6">
        <w:t>ed)</w:t>
      </w:r>
      <w:r w:rsidR="002C10DD">
        <w:t xml:space="preserve">, but up slightly from 3.3 in 2021. </w:t>
      </w:r>
      <w:r w:rsidR="00910C36">
        <w:t xml:space="preserve">Overall, there is a move in the right direction since UC ANR started promoting the use of condition changes </w:t>
      </w:r>
      <w:r w:rsidR="008E5494" w:rsidRPr="00C76DF6">
        <w:t xml:space="preserve">to help focus work and as such encourages selecting no more than three condition changes, when appropriate.  </w:t>
      </w:r>
      <w:r w:rsidR="00910C36">
        <w:t xml:space="preserve">However, given that the </w:t>
      </w:r>
      <w:r w:rsidR="008A6B90">
        <w:t xml:space="preserve">percentage of respondents </w:t>
      </w:r>
      <w:r w:rsidR="00910C36">
        <w:t>who selected 4 or more condition changes increased slightly in 2022, we may need to re-emphasize the benefit of selecting 3 or fewer.</w:t>
      </w:r>
    </w:p>
    <w:p w14:paraId="3A75592A" w14:textId="77777777" w:rsidR="005169E2" w:rsidRDefault="005169E2" w:rsidP="005169E2">
      <w:pPr>
        <w:pStyle w:val="ListParagraph"/>
        <w:tabs>
          <w:tab w:val="left" w:pos="2010"/>
        </w:tabs>
        <w:spacing w:after="0" w:line="240" w:lineRule="auto"/>
        <w:ind w:left="360"/>
        <w:rPr>
          <w:noProof/>
        </w:rPr>
      </w:pPr>
    </w:p>
    <w:p w14:paraId="5251FA59" w14:textId="7443CF13" w:rsidR="00AD0168" w:rsidRPr="00C76DF6" w:rsidRDefault="00AD0168" w:rsidP="00982225">
      <w:pPr>
        <w:pStyle w:val="ListParagraph"/>
        <w:numPr>
          <w:ilvl w:val="0"/>
          <w:numId w:val="19"/>
        </w:numPr>
        <w:tabs>
          <w:tab w:val="left" w:pos="2010"/>
        </w:tabs>
        <w:spacing w:after="0" w:line="240" w:lineRule="auto"/>
        <w:ind w:left="360"/>
        <w:rPr>
          <w:noProof/>
        </w:rPr>
      </w:pPr>
      <w:r>
        <w:t xml:space="preserve">As part of the self-defined condition change analysis, Table 3 shows the number and percentage of respondents who selected self-defined condition changes in </w:t>
      </w:r>
      <w:r w:rsidR="008D1A00">
        <w:t>20</w:t>
      </w:r>
      <w:r>
        <w:t xml:space="preserve">18, </w:t>
      </w:r>
      <w:r w:rsidR="008D1A00">
        <w:t>20</w:t>
      </w:r>
      <w:r>
        <w:t xml:space="preserve">21 and </w:t>
      </w:r>
      <w:r w:rsidR="008D1A00">
        <w:t>202</w:t>
      </w:r>
      <w:r>
        <w:t xml:space="preserve">2.  The percentage of respondents who selected self-defined condition changes in </w:t>
      </w:r>
      <w:r w:rsidR="008D1A00">
        <w:t>2022</w:t>
      </w:r>
      <w:r>
        <w:t xml:space="preserve"> increased </w:t>
      </w:r>
      <w:r w:rsidR="00BE0BE1">
        <w:t>somewhat</w:t>
      </w:r>
      <w:r>
        <w:t xml:space="preserve"> from </w:t>
      </w:r>
      <w:r w:rsidR="001A167A">
        <w:t>2021 but</w:t>
      </w:r>
      <w:r>
        <w:t xml:space="preserve"> is substantially below the </w:t>
      </w:r>
      <w:r w:rsidR="008D1A00">
        <w:t>2018</w:t>
      </w:r>
      <w:r>
        <w:t xml:space="preserve"> percentage.</w:t>
      </w:r>
    </w:p>
    <w:p w14:paraId="2D726FC7" w14:textId="6969C8B6" w:rsidR="008E5494" w:rsidRDefault="008E5494" w:rsidP="008E5494">
      <w:pPr>
        <w:pStyle w:val="ListParagraph"/>
        <w:tabs>
          <w:tab w:val="left" w:pos="2010"/>
        </w:tabs>
        <w:spacing w:after="0" w:line="240" w:lineRule="auto"/>
        <w:rPr>
          <w:noProof/>
          <w:highlight w:val="yellow"/>
        </w:rPr>
      </w:pPr>
    </w:p>
    <w:p w14:paraId="1A45E422" w14:textId="77777777" w:rsidR="00AD0168" w:rsidRPr="008E5494" w:rsidRDefault="00AD0168" w:rsidP="008E5494">
      <w:pPr>
        <w:pStyle w:val="ListParagraph"/>
        <w:tabs>
          <w:tab w:val="left" w:pos="2010"/>
        </w:tabs>
        <w:spacing w:after="0" w:line="240" w:lineRule="auto"/>
        <w:rPr>
          <w:noProof/>
          <w:highlight w:val="yellow"/>
        </w:rPr>
      </w:pPr>
    </w:p>
    <w:p w14:paraId="6373713C" w14:textId="478E9C7F" w:rsidR="00C76DF6" w:rsidRDefault="00C76DF6" w:rsidP="0061758E">
      <w:pPr>
        <w:tabs>
          <w:tab w:val="left" w:pos="2010"/>
        </w:tabs>
        <w:spacing w:after="0" w:line="240" w:lineRule="auto"/>
        <w:rPr>
          <w:rFonts w:cstheme="minorHAnsi"/>
          <w:sz w:val="24"/>
          <w:szCs w:val="24"/>
        </w:rPr>
      </w:pPr>
    </w:p>
    <w:p w14:paraId="45169BC3" w14:textId="0F6269B3" w:rsidR="005169E2" w:rsidRDefault="005169E2" w:rsidP="0061758E">
      <w:pPr>
        <w:tabs>
          <w:tab w:val="left" w:pos="2010"/>
        </w:tabs>
        <w:spacing w:after="0" w:line="240" w:lineRule="auto"/>
        <w:rPr>
          <w:rFonts w:cstheme="minorHAnsi"/>
          <w:sz w:val="24"/>
          <w:szCs w:val="24"/>
        </w:rPr>
      </w:pPr>
    </w:p>
    <w:p w14:paraId="4D7DB40B" w14:textId="6A70F6CA" w:rsidR="005169E2" w:rsidRDefault="005169E2" w:rsidP="0061758E">
      <w:pPr>
        <w:tabs>
          <w:tab w:val="left" w:pos="2010"/>
        </w:tabs>
        <w:spacing w:after="0" w:line="240" w:lineRule="auto"/>
        <w:rPr>
          <w:rFonts w:cstheme="minorHAnsi"/>
          <w:sz w:val="24"/>
          <w:szCs w:val="24"/>
        </w:rPr>
      </w:pPr>
    </w:p>
    <w:p w14:paraId="0AB899B3" w14:textId="66ED143C" w:rsidR="005169E2" w:rsidRDefault="005169E2" w:rsidP="0061758E">
      <w:pPr>
        <w:tabs>
          <w:tab w:val="left" w:pos="2010"/>
        </w:tabs>
        <w:spacing w:after="0" w:line="240" w:lineRule="auto"/>
        <w:rPr>
          <w:rFonts w:cstheme="minorHAnsi"/>
          <w:sz w:val="24"/>
          <w:szCs w:val="24"/>
        </w:rPr>
      </w:pPr>
    </w:p>
    <w:p w14:paraId="135EE499" w14:textId="17C03B28" w:rsidR="00056519" w:rsidRPr="001A167A" w:rsidRDefault="00056519" w:rsidP="0061758E">
      <w:pPr>
        <w:tabs>
          <w:tab w:val="left" w:pos="201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167A">
        <w:rPr>
          <w:rFonts w:cstheme="minorHAnsi"/>
          <w:b/>
          <w:bCs/>
          <w:sz w:val="24"/>
          <w:szCs w:val="24"/>
        </w:rPr>
        <w:lastRenderedPageBreak/>
        <w:t>Table 1: % Effort by Condition Change</w:t>
      </w:r>
    </w:p>
    <w:p w14:paraId="563B1915" w14:textId="3B47A605" w:rsidR="00611D04" w:rsidRPr="006A6C68" w:rsidRDefault="00611D04" w:rsidP="0061758E">
      <w:pPr>
        <w:tabs>
          <w:tab w:val="left" w:pos="2010"/>
        </w:tabs>
        <w:spacing w:after="0" w:line="240" w:lineRule="auto"/>
        <w:rPr>
          <w:noProof/>
          <w:sz w:val="12"/>
          <w:szCs w:val="12"/>
        </w:rPr>
      </w:pPr>
    </w:p>
    <w:tbl>
      <w:tblPr>
        <w:tblW w:w="11315" w:type="dxa"/>
        <w:tblInd w:w="-275" w:type="dxa"/>
        <w:tblLook w:val="04A0" w:firstRow="1" w:lastRow="0" w:firstColumn="1" w:lastColumn="0" w:noHBand="0" w:noVBand="1"/>
      </w:tblPr>
      <w:tblGrid>
        <w:gridCol w:w="4886"/>
        <w:gridCol w:w="777"/>
        <w:gridCol w:w="760"/>
        <w:gridCol w:w="777"/>
        <w:gridCol w:w="720"/>
        <w:gridCol w:w="675"/>
        <w:gridCol w:w="720"/>
        <w:gridCol w:w="1000"/>
        <w:gridCol w:w="1000"/>
      </w:tblGrid>
      <w:tr w:rsidR="00DE4AB1" w:rsidRPr="00DE4AB1" w14:paraId="1A82EB37" w14:textId="77777777" w:rsidTr="005169E2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73AE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Condition Changes Grouped by Public Value Statement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CF3F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FY18 FTE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999A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FY18 % effort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6A35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FY21 FTE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551D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FY21 % effort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F58D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FY22 FTE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0F05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FY22 % effort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02C4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∆% effort since FY21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EBC7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∆% effort since FY18</w:t>
            </w:r>
          </w:p>
        </w:tc>
      </w:tr>
      <w:tr w:rsidR="00DE4AB1" w:rsidRPr="00DE4AB1" w14:paraId="4EB2052A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B86601E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Promoting economic prosperity in California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222F2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778CE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64B04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CAE55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CCFCC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09D3F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150EE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EAB1C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2.2%</w:t>
            </w:r>
          </w:p>
        </w:tc>
      </w:tr>
      <w:tr w:rsidR="00DE4AB1" w:rsidRPr="00DE4AB1" w14:paraId="38E46286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041C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individual and household financial stability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769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950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280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9A1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05C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7D4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38D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EB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2.4%</w:t>
            </w:r>
          </w:p>
        </w:tc>
      </w:tr>
      <w:tr w:rsidR="00DE4AB1" w:rsidRPr="00DE4AB1" w14:paraId="59D1805F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8021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Enhanced community economic development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367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9A8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77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0CF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BE9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5BE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C3E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4EB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0.8%</w:t>
            </w:r>
          </w:p>
        </w:tc>
      </w:tr>
      <w:tr w:rsidR="00DE4AB1" w:rsidRPr="00DE4AB1" w14:paraId="4EC72F9C" w14:textId="77777777" w:rsidTr="005169E2">
        <w:trPr>
          <w:trHeight w:val="51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AEB4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agriculture and forestry efficiency and profitability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025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7A0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4D4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AF2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ED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131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6AC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90C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0.3%</w:t>
            </w:r>
          </w:p>
        </w:tc>
      </w:tr>
      <w:tr w:rsidR="00DE4AB1" w:rsidRPr="00DE4AB1" w14:paraId="43270BF4" w14:textId="77777777" w:rsidTr="005169E2">
        <w:trPr>
          <w:trHeight w:val="51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542E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Improved animal management, </w:t>
            </w:r>
            <w:proofErr w:type="gramStart"/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productivity</w:t>
            </w:r>
            <w:proofErr w:type="gramEnd"/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efficiency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40C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EFF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F93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2B7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2DF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D7C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145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-0.7%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FD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-1.1%</w:t>
            </w:r>
          </w:p>
        </w:tc>
      </w:tr>
      <w:tr w:rsidR="00DE4AB1" w:rsidRPr="00DE4AB1" w14:paraId="3F23064F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601D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emerging food economies and markets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158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791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39A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FF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449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71F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5A1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AE0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-0.2%</w:t>
            </w:r>
          </w:p>
        </w:tc>
      </w:tr>
      <w:tr w:rsidR="00DE4AB1" w:rsidRPr="00DE4AB1" w14:paraId="3ED136AF" w14:textId="77777777" w:rsidTr="005169E2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DB5D998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Safeguarding sufficient, safe, and healthy food for all Californians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696E5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BADC7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A7B6E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20FD0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17.8%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9712F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BE598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20.8%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7D6FC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36EA8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2.6%</w:t>
            </w:r>
          </w:p>
        </w:tc>
      </w:tr>
      <w:tr w:rsidR="00DE4AB1" w:rsidRPr="00DE4AB1" w14:paraId="096EFE0C" w14:textId="77777777" w:rsidTr="005169E2">
        <w:trPr>
          <w:trHeight w:val="255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9D08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food security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45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8F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0B4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CBA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10.3%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95F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005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12.4%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BD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1F6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2.1%</w:t>
            </w:r>
          </w:p>
        </w:tc>
      </w:tr>
      <w:tr w:rsidR="00DE4AB1" w:rsidRPr="00DE4AB1" w14:paraId="04FBC1D4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C71D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food safety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23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E80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7.9%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B34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91D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1BD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7B3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B4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1C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0.5%</w:t>
            </w:r>
          </w:p>
        </w:tc>
      </w:tr>
      <w:tr w:rsidR="00DE4AB1" w:rsidRPr="00DE4AB1" w14:paraId="3BD96674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9478708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Protecting California’s natural resources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140D6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531DE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AF1FE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16.74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68AE5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13.2%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F571B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11.36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1823B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2002F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-0.1%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1EC0D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3.6%</w:t>
            </w:r>
          </w:p>
        </w:tc>
      </w:tr>
      <w:tr w:rsidR="00DE4AB1" w:rsidRPr="00DE4AB1" w14:paraId="5D153744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4244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water-use efficiency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12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573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09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A9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DB0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E1D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20E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E1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1.6%</w:t>
            </w:r>
          </w:p>
        </w:tc>
      </w:tr>
      <w:tr w:rsidR="00DE4AB1" w:rsidRPr="00DE4AB1" w14:paraId="7E366C86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1428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management and use of land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FDF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EB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06D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CF3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16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2AB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F8E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AF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2.3%</w:t>
            </w:r>
          </w:p>
        </w:tc>
      </w:tr>
      <w:tr w:rsidR="00DE4AB1" w:rsidRPr="00DE4AB1" w14:paraId="1C05340D" w14:textId="77777777" w:rsidTr="005169E2">
        <w:trPr>
          <w:trHeight w:val="51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511C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ecological sustainability of agriculture, landscapes, and forestry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5F8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E5B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46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6BB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45B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549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150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-3.8%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DC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-2.0%</w:t>
            </w:r>
          </w:p>
        </w:tc>
      </w:tr>
      <w:tr w:rsidR="00DE4AB1" w:rsidRPr="00DE4AB1" w14:paraId="455CEC63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A194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water quality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6FD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C3C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5D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27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E50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279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C05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9B3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0.5%</w:t>
            </w:r>
          </w:p>
        </w:tc>
      </w:tr>
      <w:tr w:rsidR="00DE4AB1" w:rsidRPr="00DE4AB1" w14:paraId="4A0A84B7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6B48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Protected and conserved soil quality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706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626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153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504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365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AE4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CF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D82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0.8%</w:t>
            </w:r>
          </w:p>
        </w:tc>
      </w:tr>
      <w:tr w:rsidR="00DE4AB1" w:rsidRPr="00DE4AB1" w14:paraId="0AAA3C96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3DC5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air quality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678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E83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88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C9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309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E15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69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ECB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0.3%</w:t>
            </w:r>
          </w:p>
        </w:tc>
      </w:tr>
      <w:tr w:rsidR="00DE4AB1" w:rsidRPr="00DE4AB1" w14:paraId="7AF964A1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0AC1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water-supply security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53C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01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0AD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CD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AB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F3F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F6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9C4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DE4AB1" w:rsidRPr="00DE4AB1" w14:paraId="52177591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C965DD6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Promoting healthy people and communities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F9AC39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52.65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4D6FF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43.5%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CC10F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48.71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B4D31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38.3%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11F12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35.35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5CD43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40.8%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46D9B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1A115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-2.8%</w:t>
            </w:r>
          </w:p>
        </w:tc>
      </w:tr>
      <w:tr w:rsidR="00DE4AB1" w:rsidRPr="00DE4AB1" w14:paraId="111BBE21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2266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Improved health for all [individual level]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A46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22.74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0AB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18.8%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A0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31.80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AEF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25.0%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DB1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18.93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F4F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21.8%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D87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-3.2%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3FF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3.0%</w:t>
            </w:r>
          </w:p>
        </w:tc>
      </w:tr>
      <w:tr w:rsidR="00DE4AB1" w:rsidRPr="00DE4AB1" w14:paraId="6230602F" w14:textId="77777777" w:rsidTr="005169E2">
        <w:trPr>
          <w:trHeight w:val="51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BD12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Improved community health and wellness [policy, systems, or environment level]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478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26.43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3CB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21.9%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0C7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16.12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497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12.7%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D16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13.89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28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16.0%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F71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3.3%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94D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-5.8%</w:t>
            </w:r>
          </w:p>
        </w:tc>
      </w:tr>
      <w:tr w:rsidR="00DE4AB1" w:rsidRPr="00DE4AB1" w14:paraId="2B3C5304" w14:textId="77777777" w:rsidTr="005169E2">
        <w:trPr>
          <w:trHeight w:val="51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E7FA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access to positive built and natural environments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A2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F9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42C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C43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A4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5A1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06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A56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DE4AB1" w:rsidRPr="00DE4AB1" w14:paraId="16941B0A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4498337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UC ANR: Developing a qualified workforce for California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3BA8C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17.45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C5AA7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14.4%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28589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14.93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DC554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11.7%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C0614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7.35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5FDA2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8.5%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40AE1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-3.3%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624F9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-6.0%</w:t>
            </w:r>
          </w:p>
        </w:tc>
      </w:tr>
      <w:tr w:rsidR="00DE4AB1" w:rsidRPr="00DE4AB1" w14:paraId="0F7593E4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178A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Increased civic engagement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D8D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3.95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2D9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3.3%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C02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4.40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E71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3.5%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383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2.54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891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2.9%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777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-0.5%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2C4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-0.3%</w:t>
            </w:r>
          </w:p>
        </w:tc>
      </w:tr>
      <w:tr w:rsidR="00DE4AB1" w:rsidRPr="00DE4AB1" w14:paraId="1082F0B4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465B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Increased effective public leaders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D13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5.28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579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4.4%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E8F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3.67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0C8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2.9%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25E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1.97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275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2.3%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602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-0.6%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E9E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-2.1%</w:t>
            </w:r>
          </w:p>
        </w:tc>
      </w:tr>
      <w:tr w:rsidR="00DE4AB1" w:rsidRPr="00DE4AB1" w14:paraId="51421D13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DC32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Improved college readiness and access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237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5.57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42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4.6%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A1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4.72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5F9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3.7%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1C5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1.44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389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1.7%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92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-2.1%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51C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-2.9%</w:t>
            </w:r>
          </w:p>
        </w:tc>
      </w:tr>
      <w:tr w:rsidR="00DE4AB1" w:rsidRPr="00DE4AB1" w14:paraId="1B283053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3213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Increased workforce retention and competency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A6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5F3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2.2%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4C0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2.13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811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1.7%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DD7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1.40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3DA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1.6%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041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-0.1%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E16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sz w:val="20"/>
                <w:szCs w:val="20"/>
              </w:rPr>
              <w:t>-0.6%</w:t>
            </w:r>
          </w:p>
        </w:tc>
      </w:tr>
      <w:tr w:rsidR="00DE4AB1" w:rsidRPr="00DE4AB1" w14:paraId="329B211F" w14:textId="77777777" w:rsidTr="005169E2">
        <w:trPr>
          <w:trHeight w:val="51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FD2A143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Building climate-resilient communities and ecosystems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81819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569B6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93EAB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A0992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20D7E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082F4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0ABFF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7416C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0.8%</w:t>
            </w:r>
          </w:p>
        </w:tc>
      </w:tr>
      <w:tr w:rsidR="00DE4AB1" w:rsidRPr="00DE4AB1" w14:paraId="32ABB971" w14:textId="77777777" w:rsidTr="005169E2">
        <w:trPr>
          <w:trHeight w:val="51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5EA8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preparedness and resilience to extreme weather and climate change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15F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A04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86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75F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AB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B3F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3AF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19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0.8%</w:t>
            </w:r>
          </w:p>
        </w:tc>
      </w:tr>
      <w:tr w:rsidR="00DE4AB1" w:rsidRPr="00DE4AB1" w14:paraId="3D73727C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0F5FC3F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Developing an inclusive and equitable society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DAA85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791F4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B2783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BA5BAC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5BCE3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021F8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80E6F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-0.1%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2A93C3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-1.1%</w:t>
            </w:r>
          </w:p>
        </w:tc>
      </w:tr>
      <w:tr w:rsidR="00DE4AB1" w:rsidRPr="00DE4AB1" w14:paraId="63F53F85" w14:textId="77777777" w:rsidTr="005169E2">
        <w:trPr>
          <w:trHeight w:val="51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E64D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diversity, inclusiveness, and cultural competency in California's workplaces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D6F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88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45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4C2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1B4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BF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3E7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385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-1.1%</w:t>
            </w:r>
          </w:p>
        </w:tc>
      </w:tr>
      <w:tr w:rsidR="00DE4AB1" w:rsidRPr="00DE4AB1" w14:paraId="7B20AEE9" w14:textId="77777777" w:rsidTr="005169E2">
        <w:trPr>
          <w:trHeight w:val="51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B532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living and working conditions for California's food system and farm workers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1DD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E4A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E8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DCD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CE7F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D3D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36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717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DE4AB1" w:rsidRPr="00DE4AB1" w14:paraId="664B3EEC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FE30D11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Condition </w:t>
            </w:r>
            <w:proofErr w:type="gramStart"/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change</w:t>
            </w:r>
            <w:proofErr w:type="gramEnd"/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self-defined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7918B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B638F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B51C3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07A5A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6A91F8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6EA79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1F42A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4D3732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-0.8%</w:t>
            </w:r>
          </w:p>
        </w:tc>
      </w:tr>
      <w:tr w:rsidR="00DE4AB1" w:rsidRPr="00DE4AB1" w14:paraId="756673AC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FB9C1B1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condition change selected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489AF6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6DAC5B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79E27E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F2E7E5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6.9%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B71A3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75FB57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37EB30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-3.0%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4634D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1.4%</w:t>
            </w:r>
          </w:p>
        </w:tc>
      </w:tr>
      <w:tr w:rsidR="00DE4AB1" w:rsidRPr="00DE4AB1" w14:paraId="1C8DB144" w14:textId="77777777" w:rsidTr="005169E2">
        <w:trPr>
          <w:trHeight w:val="255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890A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32B4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120.91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6C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5D3A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127.11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5C9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451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86.68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6F49" w14:textId="77777777" w:rsidR="00DE4AB1" w:rsidRPr="00DE4AB1" w:rsidRDefault="00DE4AB1" w:rsidP="00DE4A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FE69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982" w14:textId="77777777" w:rsidR="00DE4AB1" w:rsidRPr="00DE4AB1" w:rsidRDefault="00DE4AB1" w:rsidP="00DE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E4A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4F388AF7" w14:textId="326F3C07" w:rsidR="00056519" w:rsidRDefault="00056519" w:rsidP="0061758E">
      <w:pPr>
        <w:tabs>
          <w:tab w:val="left" w:pos="2010"/>
        </w:tabs>
        <w:spacing w:after="0" w:line="240" w:lineRule="auto"/>
        <w:rPr>
          <w:noProof/>
        </w:rPr>
      </w:pPr>
    </w:p>
    <w:p w14:paraId="705EA771" w14:textId="601546AC" w:rsidR="00DD27D2" w:rsidRDefault="00DD27D2" w:rsidP="0061758E">
      <w:pPr>
        <w:tabs>
          <w:tab w:val="left" w:pos="2010"/>
        </w:tabs>
        <w:spacing w:after="0" w:line="240" w:lineRule="auto"/>
        <w:rPr>
          <w:noProof/>
        </w:rPr>
      </w:pPr>
    </w:p>
    <w:p w14:paraId="2273BF4B" w14:textId="322E51E6" w:rsidR="00DD27D2" w:rsidRPr="001A167A" w:rsidRDefault="00DD27D2" w:rsidP="00DD27D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167A">
        <w:rPr>
          <w:rFonts w:cstheme="minorHAnsi"/>
          <w:b/>
          <w:bCs/>
          <w:sz w:val="24"/>
          <w:szCs w:val="24"/>
        </w:rPr>
        <w:t>Table 2: Condition Change Count Analysis</w:t>
      </w:r>
    </w:p>
    <w:p w14:paraId="4D7E6FE5" w14:textId="77777777" w:rsidR="00DD27D2" w:rsidRPr="00C63BBA" w:rsidRDefault="00DD27D2" w:rsidP="00DD27D2">
      <w:pPr>
        <w:spacing w:after="0" w:line="240" w:lineRule="auto"/>
        <w:rPr>
          <w:rFonts w:cstheme="minorHAnsi"/>
          <w:sz w:val="4"/>
          <w:szCs w:val="4"/>
        </w:rPr>
      </w:pPr>
    </w:p>
    <w:p w14:paraId="06978142" w14:textId="77777777" w:rsidR="00DD27D2" w:rsidRPr="006A6C68" w:rsidRDefault="00DD27D2" w:rsidP="00DD27D2">
      <w:pPr>
        <w:spacing w:after="0" w:line="240" w:lineRule="auto"/>
        <w:rPr>
          <w:rFonts w:cstheme="minorHAnsi"/>
          <w:b/>
          <w:sz w:val="12"/>
          <w:szCs w:val="12"/>
        </w:rPr>
      </w:pPr>
    </w:p>
    <w:tbl>
      <w:tblPr>
        <w:tblW w:w="10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783"/>
        <w:gridCol w:w="714"/>
        <w:gridCol w:w="620"/>
        <w:gridCol w:w="753"/>
        <w:gridCol w:w="810"/>
        <w:gridCol w:w="6385"/>
      </w:tblGrid>
      <w:tr w:rsidR="003C274D" w:rsidRPr="003358E8" w14:paraId="17BB9819" w14:textId="77777777" w:rsidTr="00B858D4">
        <w:tc>
          <w:tcPr>
            <w:tcW w:w="1498" w:type="dxa"/>
            <w:gridSpan w:val="2"/>
            <w:shd w:val="clear" w:color="auto" w:fill="D9D9D9" w:themeFill="background1" w:themeFillShade="D9"/>
          </w:tcPr>
          <w:p w14:paraId="7D466503" w14:textId="77777777" w:rsidR="003C274D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FY18</w:t>
            </w:r>
          </w:p>
        </w:tc>
        <w:tc>
          <w:tcPr>
            <w:tcW w:w="1334" w:type="dxa"/>
            <w:gridSpan w:val="2"/>
            <w:shd w:val="clear" w:color="auto" w:fill="D9D9D9" w:themeFill="background1" w:themeFillShade="D9"/>
          </w:tcPr>
          <w:p w14:paraId="109E3275" w14:textId="603CE417" w:rsidR="003C274D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FY21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14:paraId="4C83ABF8" w14:textId="422D1CDD" w:rsidR="003C274D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FY22</w:t>
            </w:r>
          </w:p>
        </w:tc>
        <w:tc>
          <w:tcPr>
            <w:tcW w:w="6385" w:type="dxa"/>
          </w:tcPr>
          <w:p w14:paraId="20026A7A" w14:textId="39AD6836" w:rsidR="003C274D" w:rsidRDefault="003C274D" w:rsidP="003C27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C274D" w:rsidRPr="003358E8" w14:paraId="6E0DF145" w14:textId="77777777" w:rsidTr="003C274D">
        <w:tc>
          <w:tcPr>
            <w:tcW w:w="715" w:type="dxa"/>
          </w:tcPr>
          <w:p w14:paraId="12C6BF64" w14:textId="0CE98236" w:rsidR="003C274D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91DAA" w14:textId="77777777" w:rsidR="003C274D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</w:tcPr>
          <w:p w14:paraId="0BE407C2" w14:textId="77777777" w:rsidR="003C274D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620" w:type="dxa"/>
          </w:tcPr>
          <w:p w14:paraId="460A60D6" w14:textId="77777777" w:rsidR="003C274D" w:rsidRDefault="003C274D" w:rsidP="003C27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</w:tcPr>
          <w:p w14:paraId="39ED7F39" w14:textId="3C3119FE" w:rsidR="003C274D" w:rsidRDefault="00321BD3" w:rsidP="00321B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10" w:type="dxa"/>
          </w:tcPr>
          <w:p w14:paraId="46F5166B" w14:textId="68EBD23E" w:rsidR="003C274D" w:rsidRDefault="003C274D" w:rsidP="00321B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1D6E6" w14:textId="6413C20F" w:rsidR="003C274D" w:rsidRDefault="003C274D" w:rsidP="003C27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 of C</w:t>
            </w:r>
            <w:r w:rsidR="00FE3867">
              <w:rPr>
                <w:rFonts w:ascii="Calibri" w:hAnsi="Calibri" w:cs="Calibri"/>
                <w:color w:val="000000"/>
              </w:rPr>
              <w:t xml:space="preserve">ommunity Educators </w:t>
            </w:r>
            <w:r>
              <w:rPr>
                <w:rFonts w:ascii="Calibri" w:hAnsi="Calibri" w:cs="Calibri"/>
                <w:color w:val="000000"/>
              </w:rPr>
              <w:t>respondents</w:t>
            </w:r>
          </w:p>
        </w:tc>
      </w:tr>
      <w:tr w:rsidR="003C274D" w:rsidRPr="003358E8" w14:paraId="6924AECC" w14:textId="77777777" w:rsidTr="003C274D">
        <w:tc>
          <w:tcPr>
            <w:tcW w:w="715" w:type="dxa"/>
          </w:tcPr>
          <w:p w14:paraId="27EDDB5B" w14:textId="77777777" w:rsidR="003C274D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4EC20" w14:textId="77777777" w:rsidR="003C274D" w:rsidRPr="003358E8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</w:tcPr>
          <w:p w14:paraId="36E37F10" w14:textId="66EC8157" w:rsidR="003C274D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20" w:type="dxa"/>
          </w:tcPr>
          <w:p w14:paraId="508E50F8" w14:textId="77777777" w:rsidR="003C274D" w:rsidRDefault="003C274D" w:rsidP="003C27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</w:tcPr>
          <w:p w14:paraId="3000EE4B" w14:textId="35F17A54" w:rsidR="003C274D" w:rsidRDefault="00321BD3" w:rsidP="00321B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10" w:type="dxa"/>
          </w:tcPr>
          <w:p w14:paraId="4F883BAB" w14:textId="67367A5B" w:rsidR="003C274D" w:rsidRDefault="003C274D" w:rsidP="00321B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510DB" w14:textId="4369DE76" w:rsidR="003C274D" w:rsidRPr="003358E8" w:rsidRDefault="003C274D" w:rsidP="003C27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of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respondents who selected 4 or more UC ANR condition changes</w:t>
            </w:r>
          </w:p>
        </w:tc>
      </w:tr>
      <w:tr w:rsidR="003C274D" w:rsidRPr="001C7B15" w14:paraId="12A52213" w14:textId="77777777" w:rsidTr="003C274D">
        <w:tc>
          <w:tcPr>
            <w:tcW w:w="715" w:type="dxa"/>
            <w:shd w:val="clear" w:color="auto" w:fill="F4FCB6"/>
          </w:tcPr>
          <w:p w14:paraId="3F52B116" w14:textId="7CC76EDB" w:rsidR="003C274D" w:rsidRPr="00D84B25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06B43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4</w:t>
            </w:r>
            <w:r w:rsidRPr="00206B4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55</w:t>
            </w:r>
            <w:r w:rsidRPr="00206B43">
              <w:rPr>
                <w:rFonts w:ascii="Calibri" w:hAnsi="Calibri" w:cs="Calibri"/>
              </w:rPr>
              <w:t>%</w:t>
            </w:r>
          </w:p>
        </w:tc>
        <w:tc>
          <w:tcPr>
            <w:tcW w:w="783" w:type="dxa"/>
            <w:shd w:val="clear" w:color="auto" w:fill="F4FCB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05ED3" w14:textId="77777777" w:rsidR="003C274D" w:rsidRPr="00D84B25" w:rsidRDefault="003C274D" w:rsidP="003C274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F4FCB6"/>
          </w:tcPr>
          <w:p w14:paraId="2622A995" w14:textId="2AE0E14F" w:rsidR="003C274D" w:rsidRPr="00D84B25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35.97%</w:t>
            </w:r>
          </w:p>
        </w:tc>
        <w:tc>
          <w:tcPr>
            <w:tcW w:w="620" w:type="dxa"/>
            <w:shd w:val="clear" w:color="auto" w:fill="F4FCB6"/>
          </w:tcPr>
          <w:p w14:paraId="1AD0864F" w14:textId="77777777" w:rsidR="003C274D" w:rsidRPr="00D84B25" w:rsidRDefault="003C274D" w:rsidP="003C27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shd w:val="clear" w:color="auto" w:fill="F4FCB6"/>
          </w:tcPr>
          <w:p w14:paraId="78101DA5" w14:textId="0452F270" w:rsidR="003C274D" w:rsidRPr="00D84B25" w:rsidRDefault="00D40328" w:rsidP="00321B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45.26%</w:t>
            </w:r>
          </w:p>
        </w:tc>
        <w:tc>
          <w:tcPr>
            <w:tcW w:w="810" w:type="dxa"/>
            <w:shd w:val="clear" w:color="auto" w:fill="F4FCB6"/>
          </w:tcPr>
          <w:p w14:paraId="39DD6913" w14:textId="2EC2890A" w:rsidR="003C274D" w:rsidRPr="00D84B25" w:rsidRDefault="003C274D" w:rsidP="00321B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5" w:type="dxa"/>
            <w:shd w:val="clear" w:color="auto" w:fill="F4FCB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D3B9F" w14:textId="3865F10E" w:rsidR="003C274D" w:rsidRPr="00D84B25" w:rsidRDefault="003C274D" w:rsidP="003C274D">
            <w:pPr>
              <w:spacing w:after="0" w:line="240" w:lineRule="auto"/>
              <w:rPr>
                <w:rFonts w:cstheme="minorHAnsi"/>
              </w:rPr>
            </w:pPr>
            <w:r w:rsidRPr="00D84B25">
              <w:rPr>
                <w:rFonts w:ascii="Calibri" w:hAnsi="Calibri" w:cs="Calibri"/>
                <w:color w:val="000000"/>
              </w:rPr>
              <w:t xml:space="preserve">% </w:t>
            </w:r>
            <w:proofErr w:type="gramStart"/>
            <w:r w:rsidRPr="00D84B25">
              <w:rPr>
                <w:rFonts w:ascii="Calibri" w:hAnsi="Calibri" w:cs="Calibri"/>
                <w:color w:val="000000"/>
              </w:rPr>
              <w:t>of</w:t>
            </w:r>
            <w:proofErr w:type="gramEnd"/>
            <w:r w:rsidRPr="00D84B2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respondents who selected 4 or more UC ANR condition changes</w:t>
            </w:r>
          </w:p>
        </w:tc>
      </w:tr>
      <w:tr w:rsidR="003C274D" w:rsidRPr="001C7B15" w14:paraId="521CBEA2" w14:textId="77777777" w:rsidTr="003C274D">
        <w:tc>
          <w:tcPr>
            <w:tcW w:w="715" w:type="dxa"/>
            <w:shd w:val="clear" w:color="auto" w:fill="F4FCB6"/>
          </w:tcPr>
          <w:p w14:paraId="6418E82D" w14:textId="77777777" w:rsidR="003C274D" w:rsidRPr="004239B0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4.10</w:t>
            </w:r>
          </w:p>
        </w:tc>
        <w:tc>
          <w:tcPr>
            <w:tcW w:w="783" w:type="dxa"/>
            <w:shd w:val="clear" w:color="auto" w:fill="F4FCB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FE5CF" w14:textId="77777777" w:rsidR="003C274D" w:rsidRPr="001C7B15" w:rsidRDefault="003C274D" w:rsidP="003C274D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14" w:type="dxa"/>
            <w:shd w:val="clear" w:color="auto" w:fill="F4FCB6"/>
          </w:tcPr>
          <w:p w14:paraId="6D6FF968" w14:textId="087CF7B0" w:rsidR="003C274D" w:rsidRDefault="003C274D" w:rsidP="003C27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3.33</w:t>
            </w:r>
          </w:p>
        </w:tc>
        <w:tc>
          <w:tcPr>
            <w:tcW w:w="620" w:type="dxa"/>
            <w:shd w:val="clear" w:color="auto" w:fill="F4FCB6"/>
          </w:tcPr>
          <w:p w14:paraId="7BC0085C" w14:textId="77777777" w:rsidR="003C274D" w:rsidRDefault="003C274D" w:rsidP="003C27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shd w:val="clear" w:color="auto" w:fill="F4FCB6"/>
          </w:tcPr>
          <w:p w14:paraId="5D3C4227" w14:textId="19E16E55" w:rsidR="003C274D" w:rsidRDefault="00D40328" w:rsidP="00321B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3.58</w:t>
            </w:r>
          </w:p>
        </w:tc>
        <w:tc>
          <w:tcPr>
            <w:tcW w:w="810" w:type="dxa"/>
            <w:shd w:val="clear" w:color="auto" w:fill="F4FCB6"/>
          </w:tcPr>
          <w:p w14:paraId="7D1ECE4D" w14:textId="1D4E3B0E" w:rsidR="003C274D" w:rsidRDefault="003C274D" w:rsidP="00321B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5" w:type="dxa"/>
            <w:shd w:val="clear" w:color="auto" w:fill="F4FCB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D9BC0" w14:textId="7E14C036" w:rsidR="003C274D" w:rsidRPr="001C7B15" w:rsidRDefault="003C274D" w:rsidP="003C274D">
            <w:pPr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mean # of UC ANR condition changes selected</w:t>
            </w:r>
          </w:p>
        </w:tc>
      </w:tr>
      <w:tr w:rsidR="00B858D4" w:rsidRPr="001C7B15" w14:paraId="4713A224" w14:textId="77777777" w:rsidTr="00B858D4">
        <w:tc>
          <w:tcPr>
            <w:tcW w:w="715" w:type="dxa"/>
            <w:shd w:val="clear" w:color="auto" w:fill="D6E3BC" w:themeFill="accent3" w:themeFillTint="66"/>
          </w:tcPr>
          <w:p w14:paraId="33CA3B4C" w14:textId="77777777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783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A268" w14:textId="77777777" w:rsidR="00B858D4" w:rsidRPr="001C7B15" w:rsidRDefault="00B858D4" w:rsidP="00B858D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714" w:type="dxa"/>
            <w:shd w:val="clear" w:color="auto" w:fill="D6E3BC" w:themeFill="accent3" w:themeFillTint="66"/>
          </w:tcPr>
          <w:p w14:paraId="06D05AC8" w14:textId="5B3AC390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14:paraId="02376CD2" w14:textId="148F68FF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753" w:type="dxa"/>
            <w:shd w:val="clear" w:color="auto" w:fill="D6E3BC" w:themeFill="accent3" w:themeFillTint="66"/>
          </w:tcPr>
          <w:p w14:paraId="2ABD0751" w14:textId="035190BA" w:rsidR="00B858D4" w:rsidRPr="00727229" w:rsidRDefault="00B858D4" w:rsidP="00B858D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810" w:type="dxa"/>
            <w:shd w:val="clear" w:color="auto" w:fill="D6E3BC" w:themeFill="accent3" w:themeFillTint="66"/>
          </w:tcPr>
          <w:p w14:paraId="432182B8" w14:textId="4381B7CE" w:rsidR="00B858D4" w:rsidRPr="00727229" w:rsidRDefault="00B858D4" w:rsidP="00B858D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676AD" w14:textId="21DD5563" w:rsidR="00B858D4" w:rsidRDefault="00B858D4" w:rsidP="00B858D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858D4" w:rsidRPr="001C7B15" w14:paraId="3C5C0A76" w14:textId="77777777" w:rsidTr="00E452C4">
        <w:tc>
          <w:tcPr>
            <w:tcW w:w="715" w:type="dxa"/>
            <w:vAlign w:val="bottom"/>
          </w:tcPr>
          <w:p w14:paraId="2795C9E8" w14:textId="44B55A3B" w:rsidR="00B858D4" w:rsidRPr="009F1EDE" w:rsidRDefault="00B858D4" w:rsidP="00B85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F7E42" w14:textId="6DDD4C9F" w:rsidR="00B858D4" w:rsidRPr="009F1EDE" w:rsidRDefault="00B858D4" w:rsidP="00B85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714" w:type="dxa"/>
            <w:vAlign w:val="bottom"/>
          </w:tcPr>
          <w:p w14:paraId="284B6D90" w14:textId="06AEE23F" w:rsidR="00B858D4" w:rsidRPr="009F1EDE" w:rsidRDefault="00B858D4" w:rsidP="00B85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0" w:type="dxa"/>
            <w:vAlign w:val="bottom"/>
          </w:tcPr>
          <w:p w14:paraId="70B70101" w14:textId="33BE9D72" w:rsidR="00B858D4" w:rsidRPr="009F1EDE" w:rsidRDefault="00B858D4" w:rsidP="00B85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7.2%</w:t>
            </w:r>
          </w:p>
        </w:tc>
        <w:tc>
          <w:tcPr>
            <w:tcW w:w="753" w:type="dxa"/>
            <w:vAlign w:val="bottom"/>
          </w:tcPr>
          <w:p w14:paraId="7BC4C799" w14:textId="7951FA3A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10" w:type="dxa"/>
            <w:vAlign w:val="bottom"/>
          </w:tcPr>
          <w:p w14:paraId="6713912B" w14:textId="58F98166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E7F72" w14:textId="77A098D1" w:rsidR="00B858D4" w:rsidRDefault="00B858D4" w:rsidP="00B858D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selected 0 </w:t>
            </w:r>
            <w:r w:rsidRPr="00F01392">
              <w:rPr>
                <w:rFonts w:cstheme="minorHAnsi"/>
              </w:rPr>
              <w:t xml:space="preserve">UC ANR </w:t>
            </w:r>
            <w:r>
              <w:rPr>
                <w:rFonts w:ascii="Calibri" w:hAnsi="Calibri" w:cs="Calibri"/>
                <w:color w:val="000000"/>
              </w:rPr>
              <w:t>condition changes</w:t>
            </w:r>
          </w:p>
        </w:tc>
      </w:tr>
      <w:tr w:rsidR="00B858D4" w:rsidRPr="001C7B15" w14:paraId="5BDDD475" w14:textId="77777777" w:rsidTr="00E452C4">
        <w:tc>
          <w:tcPr>
            <w:tcW w:w="715" w:type="dxa"/>
            <w:vAlign w:val="bottom"/>
          </w:tcPr>
          <w:p w14:paraId="57402102" w14:textId="27EBB0E5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F3313" w14:textId="425A5B2C" w:rsidR="00B858D4" w:rsidRPr="001C7B15" w:rsidRDefault="00B858D4" w:rsidP="00B858D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3.8%</w:t>
            </w:r>
          </w:p>
        </w:tc>
        <w:tc>
          <w:tcPr>
            <w:tcW w:w="714" w:type="dxa"/>
            <w:vAlign w:val="bottom"/>
          </w:tcPr>
          <w:p w14:paraId="5D974893" w14:textId="5FB2D8F2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20" w:type="dxa"/>
            <w:vAlign w:val="bottom"/>
          </w:tcPr>
          <w:p w14:paraId="0FC82618" w14:textId="1C918F03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9.4%</w:t>
            </w:r>
          </w:p>
        </w:tc>
        <w:tc>
          <w:tcPr>
            <w:tcW w:w="753" w:type="dxa"/>
            <w:vAlign w:val="bottom"/>
          </w:tcPr>
          <w:p w14:paraId="3B58372E" w14:textId="76E6097B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10" w:type="dxa"/>
            <w:vAlign w:val="bottom"/>
          </w:tcPr>
          <w:p w14:paraId="62A31F60" w14:textId="7206B54F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A0F69" w14:textId="74B51993" w:rsidR="00B858D4" w:rsidRPr="001C7B15" w:rsidRDefault="00B858D4" w:rsidP="00B858D4">
            <w:pPr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selected 1 </w:t>
            </w:r>
            <w:r>
              <w:rPr>
                <w:rFonts w:cstheme="minorHAnsi"/>
              </w:rPr>
              <w:t xml:space="preserve">UC ANR </w:t>
            </w:r>
            <w:r>
              <w:rPr>
                <w:rFonts w:ascii="Calibri" w:hAnsi="Calibri" w:cs="Calibri"/>
                <w:color w:val="000000"/>
              </w:rPr>
              <w:t>condition change</w:t>
            </w:r>
          </w:p>
        </w:tc>
      </w:tr>
      <w:tr w:rsidR="00B858D4" w:rsidRPr="001C7B15" w14:paraId="7EE87C94" w14:textId="77777777" w:rsidTr="00E452C4">
        <w:tc>
          <w:tcPr>
            <w:tcW w:w="715" w:type="dxa"/>
            <w:vAlign w:val="bottom"/>
          </w:tcPr>
          <w:p w14:paraId="682C77E0" w14:textId="20F7FCF7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FB162" w14:textId="08BDFDD6" w:rsidR="00B858D4" w:rsidRPr="001C7B15" w:rsidRDefault="00B858D4" w:rsidP="00B858D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12.9%</w:t>
            </w:r>
          </w:p>
        </w:tc>
        <w:tc>
          <w:tcPr>
            <w:tcW w:w="714" w:type="dxa"/>
            <w:vAlign w:val="bottom"/>
          </w:tcPr>
          <w:p w14:paraId="4844AA62" w14:textId="77BD291B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20" w:type="dxa"/>
            <w:vAlign w:val="bottom"/>
          </w:tcPr>
          <w:p w14:paraId="0D494AC5" w14:textId="368F3758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18.7%</w:t>
            </w:r>
          </w:p>
        </w:tc>
        <w:tc>
          <w:tcPr>
            <w:tcW w:w="753" w:type="dxa"/>
            <w:vAlign w:val="bottom"/>
          </w:tcPr>
          <w:p w14:paraId="1ED964FF" w14:textId="06667AD5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10" w:type="dxa"/>
            <w:vAlign w:val="bottom"/>
          </w:tcPr>
          <w:p w14:paraId="02D6BF88" w14:textId="2482FCD8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14.7%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620E3" w14:textId="26F79332" w:rsidR="00B858D4" w:rsidRPr="001C7B15" w:rsidRDefault="00B858D4" w:rsidP="00B858D4">
            <w:pPr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selected 2 </w:t>
            </w:r>
            <w:r>
              <w:rPr>
                <w:rFonts w:cstheme="minorHAnsi"/>
              </w:rPr>
              <w:t xml:space="preserve">UC ANR </w:t>
            </w:r>
            <w:r>
              <w:rPr>
                <w:rFonts w:ascii="Calibri" w:hAnsi="Calibri" w:cs="Calibri"/>
                <w:color w:val="000000"/>
              </w:rPr>
              <w:t>condition changes</w:t>
            </w:r>
          </w:p>
        </w:tc>
      </w:tr>
      <w:tr w:rsidR="00B858D4" w:rsidRPr="001C7B15" w14:paraId="11FD2577" w14:textId="77777777" w:rsidTr="00E452C4">
        <w:tc>
          <w:tcPr>
            <w:tcW w:w="715" w:type="dxa"/>
            <w:vAlign w:val="bottom"/>
          </w:tcPr>
          <w:p w14:paraId="38002AFC" w14:textId="5B25C1DF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DCAB4" w14:textId="016664B9" w:rsidR="00B858D4" w:rsidRPr="001C7B15" w:rsidRDefault="00B858D4" w:rsidP="00B858D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26.5%</w:t>
            </w:r>
          </w:p>
        </w:tc>
        <w:tc>
          <w:tcPr>
            <w:tcW w:w="714" w:type="dxa"/>
            <w:vAlign w:val="bottom"/>
          </w:tcPr>
          <w:p w14:paraId="69D64E54" w14:textId="681ED7BF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20" w:type="dxa"/>
            <w:vAlign w:val="bottom"/>
          </w:tcPr>
          <w:p w14:paraId="5D87DEEE" w14:textId="10925549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28.8%</w:t>
            </w:r>
          </w:p>
        </w:tc>
        <w:tc>
          <w:tcPr>
            <w:tcW w:w="753" w:type="dxa"/>
            <w:vAlign w:val="bottom"/>
          </w:tcPr>
          <w:p w14:paraId="5FB885BB" w14:textId="502ABE8A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10" w:type="dxa"/>
            <w:vAlign w:val="bottom"/>
          </w:tcPr>
          <w:p w14:paraId="262026E6" w14:textId="12DC8655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24.2%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03850" w14:textId="037E7A22" w:rsidR="00B858D4" w:rsidRPr="001C7B15" w:rsidRDefault="00B858D4" w:rsidP="00B858D4">
            <w:pPr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selected 3 </w:t>
            </w:r>
            <w:r>
              <w:rPr>
                <w:rFonts w:cstheme="minorHAnsi"/>
              </w:rPr>
              <w:t xml:space="preserve">UC ANR </w:t>
            </w:r>
            <w:r>
              <w:rPr>
                <w:rFonts w:ascii="Calibri" w:hAnsi="Calibri" w:cs="Calibri"/>
                <w:color w:val="000000"/>
              </w:rPr>
              <w:t>condition changes</w:t>
            </w:r>
          </w:p>
        </w:tc>
      </w:tr>
      <w:tr w:rsidR="00B858D4" w:rsidRPr="001C7B15" w14:paraId="0174B959" w14:textId="77777777" w:rsidTr="00E452C4">
        <w:tc>
          <w:tcPr>
            <w:tcW w:w="715" w:type="dxa"/>
            <w:vAlign w:val="bottom"/>
          </w:tcPr>
          <w:p w14:paraId="3792F5E3" w14:textId="4841395A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FCD06" w14:textId="43426BD6" w:rsidR="00B858D4" w:rsidRPr="001C7B15" w:rsidRDefault="00B858D4" w:rsidP="00B858D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23.5%</w:t>
            </w:r>
          </w:p>
        </w:tc>
        <w:tc>
          <w:tcPr>
            <w:tcW w:w="714" w:type="dxa"/>
            <w:vAlign w:val="bottom"/>
          </w:tcPr>
          <w:p w14:paraId="59992490" w14:textId="6E6CD31B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20" w:type="dxa"/>
            <w:vAlign w:val="bottom"/>
          </w:tcPr>
          <w:p w14:paraId="631C89CB" w14:textId="70450B93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20.1%</w:t>
            </w:r>
          </w:p>
        </w:tc>
        <w:tc>
          <w:tcPr>
            <w:tcW w:w="753" w:type="dxa"/>
            <w:vAlign w:val="bottom"/>
          </w:tcPr>
          <w:p w14:paraId="28D57A98" w14:textId="311A2852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10" w:type="dxa"/>
            <w:vAlign w:val="bottom"/>
          </w:tcPr>
          <w:p w14:paraId="02F7A56C" w14:textId="5389A987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18.9%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F16A6" w14:textId="3A810709" w:rsidR="00B858D4" w:rsidRPr="001C7B15" w:rsidRDefault="00B858D4" w:rsidP="00B858D4">
            <w:pPr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selected 4 </w:t>
            </w:r>
            <w:r>
              <w:rPr>
                <w:rFonts w:cstheme="minorHAnsi"/>
              </w:rPr>
              <w:t xml:space="preserve">UC ANR </w:t>
            </w:r>
            <w:r>
              <w:rPr>
                <w:rFonts w:ascii="Calibri" w:hAnsi="Calibri" w:cs="Calibri"/>
                <w:color w:val="000000"/>
              </w:rPr>
              <w:t>condition changes</w:t>
            </w:r>
          </w:p>
        </w:tc>
      </w:tr>
      <w:tr w:rsidR="00B858D4" w:rsidRPr="001C7B15" w14:paraId="7D90A5C1" w14:textId="77777777" w:rsidTr="00E452C4">
        <w:tc>
          <w:tcPr>
            <w:tcW w:w="715" w:type="dxa"/>
            <w:vAlign w:val="bottom"/>
          </w:tcPr>
          <w:p w14:paraId="75F7330B" w14:textId="4337B5AB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E112E" w14:textId="54899022" w:rsidR="00B858D4" w:rsidRPr="001C7B15" w:rsidRDefault="00B858D4" w:rsidP="00B858D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9.1%</w:t>
            </w:r>
          </w:p>
        </w:tc>
        <w:tc>
          <w:tcPr>
            <w:tcW w:w="714" w:type="dxa"/>
            <w:vAlign w:val="bottom"/>
          </w:tcPr>
          <w:p w14:paraId="4495CB2E" w14:textId="7DFA1CF4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20" w:type="dxa"/>
            <w:vAlign w:val="bottom"/>
          </w:tcPr>
          <w:p w14:paraId="41A089C3" w14:textId="487E401D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8.6%</w:t>
            </w:r>
          </w:p>
        </w:tc>
        <w:tc>
          <w:tcPr>
            <w:tcW w:w="753" w:type="dxa"/>
            <w:vAlign w:val="bottom"/>
          </w:tcPr>
          <w:p w14:paraId="6CF7ED46" w14:textId="633994C8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10" w:type="dxa"/>
            <w:vAlign w:val="bottom"/>
          </w:tcPr>
          <w:p w14:paraId="04F4C1F5" w14:textId="330D9659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1E6D0" w14:textId="7191E46B" w:rsidR="00B858D4" w:rsidRPr="001C7B15" w:rsidRDefault="00B858D4" w:rsidP="00B858D4">
            <w:pPr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selected 5 </w:t>
            </w:r>
            <w:r>
              <w:rPr>
                <w:rFonts w:cstheme="minorHAnsi"/>
              </w:rPr>
              <w:t xml:space="preserve">UC ANR </w:t>
            </w:r>
            <w:r>
              <w:rPr>
                <w:rFonts w:ascii="Calibri" w:hAnsi="Calibri" w:cs="Calibri"/>
                <w:color w:val="000000"/>
              </w:rPr>
              <w:t>condition changes</w:t>
            </w:r>
          </w:p>
        </w:tc>
      </w:tr>
      <w:tr w:rsidR="00B858D4" w:rsidRPr="001C7B15" w14:paraId="60B4DA83" w14:textId="77777777" w:rsidTr="00E452C4">
        <w:tc>
          <w:tcPr>
            <w:tcW w:w="715" w:type="dxa"/>
            <w:vAlign w:val="bottom"/>
          </w:tcPr>
          <w:p w14:paraId="3133E868" w14:textId="2206AF74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7AB09" w14:textId="7BBCED9D" w:rsidR="00B858D4" w:rsidRPr="001C7B15" w:rsidRDefault="00B858D4" w:rsidP="00B858D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7.6%</w:t>
            </w:r>
          </w:p>
        </w:tc>
        <w:tc>
          <w:tcPr>
            <w:tcW w:w="714" w:type="dxa"/>
            <w:vAlign w:val="bottom"/>
          </w:tcPr>
          <w:p w14:paraId="37193629" w14:textId="5EC7974E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0" w:type="dxa"/>
            <w:vAlign w:val="bottom"/>
          </w:tcPr>
          <w:p w14:paraId="5D3F9E15" w14:textId="058202D5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2.9%</w:t>
            </w:r>
          </w:p>
        </w:tc>
        <w:tc>
          <w:tcPr>
            <w:tcW w:w="753" w:type="dxa"/>
            <w:vAlign w:val="bottom"/>
          </w:tcPr>
          <w:p w14:paraId="55E9EFB4" w14:textId="2B4D9812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10" w:type="dxa"/>
            <w:vAlign w:val="bottom"/>
          </w:tcPr>
          <w:p w14:paraId="655AE3AB" w14:textId="5ACFA5CE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067A3" w14:textId="3CC17965" w:rsidR="00B858D4" w:rsidRPr="001C7B15" w:rsidRDefault="00B858D4" w:rsidP="00B858D4">
            <w:pPr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selected 6 </w:t>
            </w:r>
            <w:r>
              <w:rPr>
                <w:rFonts w:cstheme="minorHAnsi"/>
              </w:rPr>
              <w:t xml:space="preserve">UC ANR </w:t>
            </w:r>
            <w:r>
              <w:rPr>
                <w:rFonts w:ascii="Calibri" w:hAnsi="Calibri" w:cs="Calibri"/>
                <w:color w:val="000000"/>
              </w:rPr>
              <w:t>condition changes</w:t>
            </w:r>
          </w:p>
        </w:tc>
      </w:tr>
      <w:tr w:rsidR="00B858D4" w:rsidRPr="001C7B15" w14:paraId="7F9561EC" w14:textId="77777777" w:rsidTr="00E452C4">
        <w:tc>
          <w:tcPr>
            <w:tcW w:w="715" w:type="dxa"/>
            <w:vAlign w:val="bottom"/>
          </w:tcPr>
          <w:p w14:paraId="152FCF00" w14:textId="25D02DFC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4ECB1" w14:textId="57BFC0F9" w:rsidR="00B858D4" w:rsidRPr="001C7B15" w:rsidRDefault="00B858D4" w:rsidP="00B858D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12.1%</w:t>
            </w:r>
          </w:p>
        </w:tc>
        <w:tc>
          <w:tcPr>
            <w:tcW w:w="714" w:type="dxa"/>
            <w:vAlign w:val="bottom"/>
          </w:tcPr>
          <w:p w14:paraId="31993D42" w14:textId="6938FAA3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0" w:type="dxa"/>
            <w:vAlign w:val="bottom"/>
          </w:tcPr>
          <w:p w14:paraId="5ECFE996" w14:textId="39B902FA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1.4%</w:t>
            </w:r>
          </w:p>
        </w:tc>
        <w:tc>
          <w:tcPr>
            <w:tcW w:w="753" w:type="dxa"/>
            <w:vAlign w:val="bottom"/>
          </w:tcPr>
          <w:p w14:paraId="612C46FF" w14:textId="6B18C3AC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0" w:type="dxa"/>
            <w:vAlign w:val="bottom"/>
          </w:tcPr>
          <w:p w14:paraId="3A2312E2" w14:textId="301796A5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10CCF" w14:textId="6ADCF800" w:rsidR="00B858D4" w:rsidRPr="001C7B15" w:rsidRDefault="00B858D4" w:rsidP="00B858D4">
            <w:pPr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selected 7 </w:t>
            </w:r>
            <w:r>
              <w:rPr>
                <w:rFonts w:cstheme="minorHAnsi"/>
              </w:rPr>
              <w:t xml:space="preserve">UC ANR </w:t>
            </w:r>
            <w:r>
              <w:rPr>
                <w:rFonts w:ascii="Calibri" w:hAnsi="Calibri" w:cs="Calibri"/>
                <w:color w:val="000000"/>
              </w:rPr>
              <w:t>condition changes</w:t>
            </w:r>
          </w:p>
        </w:tc>
      </w:tr>
      <w:tr w:rsidR="00B858D4" w:rsidRPr="001C7B15" w14:paraId="134253C2" w14:textId="77777777" w:rsidTr="00E452C4">
        <w:tc>
          <w:tcPr>
            <w:tcW w:w="715" w:type="dxa"/>
            <w:vAlign w:val="bottom"/>
          </w:tcPr>
          <w:p w14:paraId="20DA9D30" w14:textId="6F93BE05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CF70D" w14:textId="27A13757" w:rsidR="00B858D4" w:rsidRPr="001C7B15" w:rsidRDefault="00B858D4" w:rsidP="00B858D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0.8%</w:t>
            </w:r>
          </w:p>
        </w:tc>
        <w:tc>
          <w:tcPr>
            <w:tcW w:w="714" w:type="dxa"/>
            <w:vAlign w:val="bottom"/>
          </w:tcPr>
          <w:p w14:paraId="3B2EABE7" w14:textId="5829E82C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0" w:type="dxa"/>
            <w:vAlign w:val="bottom"/>
          </w:tcPr>
          <w:p w14:paraId="08859244" w14:textId="180044FF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1.4%</w:t>
            </w:r>
          </w:p>
        </w:tc>
        <w:tc>
          <w:tcPr>
            <w:tcW w:w="753" w:type="dxa"/>
            <w:vAlign w:val="bottom"/>
          </w:tcPr>
          <w:p w14:paraId="46A51E2E" w14:textId="13FB06D8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14:paraId="61859377" w14:textId="20424A36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8E9E9" w14:textId="6E983DBE" w:rsidR="00B858D4" w:rsidRPr="001C7B15" w:rsidRDefault="00B858D4" w:rsidP="00B858D4">
            <w:pPr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selected 8 </w:t>
            </w:r>
            <w:r>
              <w:rPr>
                <w:rFonts w:cstheme="minorHAnsi"/>
              </w:rPr>
              <w:t xml:space="preserve">UC ANR </w:t>
            </w:r>
            <w:r>
              <w:rPr>
                <w:rFonts w:ascii="Calibri" w:hAnsi="Calibri" w:cs="Calibri"/>
                <w:color w:val="000000"/>
              </w:rPr>
              <w:t>condition changes</w:t>
            </w:r>
          </w:p>
        </w:tc>
      </w:tr>
      <w:tr w:rsidR="00B858D4" w:rsidRPr="001C7B15" w14:paraId="363AB8C4" w14:textId="77777777" w:rsidTr="00E452C4">
        <w:tc>
          <w:tcPr>
            <w:tcW w:w="715" w:type="dxa"/>
            <w:vAlign w:val="bottom"/>
          </w:tcPr>
          <w:p w14:paraId="7293F138" w14:textId="68CFCB33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9F6F1" w14:textId="74477109" w:rsidR="00B858D4" w:rsidRPr="001C7B15" w:rsidRDefault="00B858D4" w:rsidP="00B858D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1.5%</w:t>
            </w:r>
          </w:p>
        </w:tc>
        <w:tc>
          <w:tcPr>
            <w:tcW w:w="714" w:type="dxa"/>
            <w:vAlign w:val="bottom"/>
          </w:tcPr>
          <w:p w14:paraId="1DA3504C" w14:textId="52790769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0" w:type="dxa"/>
            <w:vAlign w:val="bottom"/>
          </w:tcPr>
          <w:p w14:paraId="1D4C37CC" w14:textId="0AD247F5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0.7%</w:t>
            </w:r>
          </w:p>
        </w:tc>
        <w:tc>
          <w:tcPr>
            <w:tcW w:w="753" w:type="dxa"/>
            <w:vAlign w:val="bottom"/>
          </w:tcPr>
          <w:p w14:paraId="231566D3" w14:textId="2A25C6DF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14:paraId="5FA201B1" w14:textId="064B16E8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54BD4" w14:textId="5C77165E" w:rsidR="00B858D4" w:rsidRPr="001C7B15" w:rsidRDefault="00B858D4" w:rsidP="00B858D4">
            <w:pPr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selected 9 </w:t>
            </w:r>
            <w:r>
              <w:rPr>
                <w:rFonts w:cstheme="minorHAnsi"/>
              </w:rPr>
              <w:t xml:space="preserve">UC ANR </w:t>
            </w:r>
            <w:r>
              <w:rPr>
                <w:rFonts w:ascii="Calibri" w:hAnsi="Calibri" w:cs="Calibri"/>
                <w:color w:val="000000"/>
              </w:rPr>
              <w:t>condition changes</w:t>
            </w:r>
          </w:p>
        </w:tc>
      </w:tr>
      <w:tr w:rsidR="00B858D4" w:rsidRPr="005E4274" w14:paraId="03C28012" w14:textId="77777777" w:rsidTr="00E452C4">
        <w:tc>
          <w:tcPr>
            <w:tcW w:w="715" w:type="dxa"/>
            <w:vAlign w:val="bottom"/>
          </w:tcPr>
          <w:p w14:paraId="05CF0C40" w14:textId="2A173957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5ACF1" w14:textId="69358B88" w:rsidR="00B858D4" w:rsidRPr="001C7B15" w:rsidRDefault="00B858D4" w:rsidP="00B858D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714" w:type="dxa"/>
            <w:vAlign w:val="bottom"/>
          </w:tcPr>
          <w:p w14:paraId="21989483" w14:textId="0A92677E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0" w:type="dxa"/>
            <w:vAlign w:val="bottom"/>
          </w:tcPr>
          <w:p w14:paraId="75861BE9" w14:textId="6491078E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0.7%</w:t>
            </w:r>
          </w:p>
        </w:tc>
        <w:tc>
          <w:tcPr>
            <w:tcW w:w="753" w:type="dxa"/>
            <w:vAlign w:val="bottom"/>
          </w:tcPr>
          <w:p w14:paraId="02724CA5" w14:textId="09BA771C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14:paraId="43C5FAC3" w14:textId="517822D2" w:rsidR="00B858D4" w:rsidRDefault="00B858D4" w:rsidP="00B85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6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9ADEF" w14:textId="6527D291" w:rsidR="00B858D4" w:rsidRPr="005E4274" w:rsidRDefault="00B858D4" w:rsidP="00B858D4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selected 10+ </w:t>
            </w:r>
            <w:r>
              <w:rPr>
                <w:rFonts w:cstheme="minorHAnsi"/>
              </w:rPr>
              <w:t xml:space="preserve">UC ANR </w:t>
            </w:r>
            <w:r>
              <w:rPr>
                <w:rFonts w:ascii="Calibri" w:hAnsi="Calibri" w:cs="Calibri"/>
                <w:color w:val="000000"/>
              </w:rPr>
              <w:t>condition changes</w:t>
            </w:r>
          </w:p>
        </w:tc>
      </w:tr>
    </w:tbl>
    <w:p w14:paraId="7A89C77C" w14:textId="1255710A" w:rsidR="001A300D" w:rsidRDefault="001A300D" w:rsidP="00DD27D2">
      <w:pPr>
        <w:spacing w:after="0" w:line="240" w:lineRule="auto"/>
        <w:rPr>
          <w:b/>
        </w:rPr>
      </w:pPr>
    </w:p>
    <w:p w14:paraId="72DE5430" w14:textId="77777777" w:rsidR="005169E2" w:rsidRPr="005169E2" w:rsidRDefault="005169E2" w:rsidP="00DD27D2">
      <w:pPr>
        <w:spacing w:after="0" w:line="240" w:lineRule="auto"/>
        <w:rPr>
          <w:b/>
          <w:sz w:val="4"/>
          <w:szCs w:val="4"/>
        </w:rPr>
      </w:pPr>
    </w:p>
    <w:p w14:paraId="354FA9A1" w14:textId="6E4469B4" w:rsidR="001A300D" w:rsidRDefault="001A167A" w:rsidP="001A300D">
      <w:pPr>
        <w:tabs>
          <w:tab w:val="left" w:pos="201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Chart 1: </w:t>
      </w:r>
      <w:r w:rsidR="00B214DC">
        <w:rPr>
          <w:rFonts w:cstheme="minorHAnsi"/>
          <w:b/>
          <w:sz w:val="24"/>
          <w:szCs w:val="24"/>
        </w:rPr>
        <w:t>Comparison</w:t>
      </w:r>
      <w:r w:rsidR="00B214DC" w:rsidRPr="001441FE">
        <w:rPr>
          <w:rFonts w:cstheme="minorHAnsi"/>
          <w:b/>
          <w:sz w:val="24"/>
          <w:szCs w:val="24"/>
        </w:rPr>
        <w:t xml:space="preserve"> of FY</w:t>
      </w:r>
      <w:r w:rsidR="00B214DC">
        <w:rPr>
          <w:rFonts w:cstheme="minorHAnsi"/>
          <w:b/>
          <w:sz w:val="24"/>
          <w:szCs w:val="24"/>
        </w:rPr>
        <w:t>18 to FY22</w:t>
      </w:r>
      <w:r w:rsidR="00B214DC" w:rsidRPr="001441FE">
        <w:rPr>
          <w:rFonts w:cstheme="minorHAnsi"/>
          <w:b/>
          <w:sz w:val="24"/>
          <w:szCs w:val="24"/>
        </w:rPr>
        <w:t xml:space="preserve"> Condition Change Selection Data</w:t>
      </w:r>
    </w:p>
    <w:p w14:paraId="5198123B" w14:textId="77777777" w:rsidR="005169E2" w:rsidRPr="005169E2" w:rsidRDefault="005169E2" w:rsidP="001A300D">
      <w:pPr>
        <w:tabs>
          <w:tab w:val="left" w:pos="2010"/>
        </w:tabs>
        <w:spacing w:after="0" w:line="240" w:lineRule="auto"/>
        <w:rPr>
          <w:rFonts w:cstheme="minorHAnsi"/>
          <w:b/>
          <w:sz w:val="12"/>
          <w:szCs w:val="12"/>
        </w:rPr>
      </w:pPr>
    </w:p>
    <w:p w14:paraId="18889FA3" w14:textId="70A99896" w:rsidR="00614803" w:rsidRDefault="00B214DC" w:rsidP="001A300D">
      <w:pPr>
        <w:tabs>
          <w:tab w:val="left" w:pos="2010"/>
        </w:tabs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45DCF67B" wp14:editId="5650A12F">
            <wp:extent cx="6972300" cy="4267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EACA3555-6344-C623-DAA5-03EA0E2D3E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3F15B0" w14:textId="77777777" w:rsidR="00195B42" w:rsidRDefault="00195B42" w:rsidP="00260F69">
      <w:pPr>
        <w:tabs>
          <w:tab w:val="left" w:pos="201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8F6B2C9" w14:textId="77777777" w:rsidR="00195B42" w:rsidRDefault="00195B42" w:rsidP="00260F69">
      <w:pPr>
        <w:tabs>
          <w:tab w:val="left" w:pos="201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7A5D338" w14:textId="2B2FEF29" w:rsidR="00557FDB" w:rsidRDefault="001A167A" w:rsidP="00260F69">
      <w:pPr>
        <w:tabs>
          <w:tab w:val="left" w:pos="201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Chart 2: </w:t>
      </w:r>
      <w:r w:rsidR="00260F69" w:rsidRPr="001441FE">
        <w:rPr>
          <w:rFonts w:cstheme="minorHAnsi"/>
          <w:b/>
          <w:sz w:val="24"/>
          <w:szCs w:val="24"/>
        </w:rPr>
        <w:t>Summary of SFY 202</w:t>
      </w:r>
      <w:r w:rsidR="00503CFA">
        <w:rPr>
          <w:rFonts w:cstheme="minorHAnsi"/>
          <w:b/>
          <w:sz w:val="24"/>
          <w:szCs w:val="24"/>
        </w:rPr>
        <w:t>2</w:t>
      </w:r>
      <w:r w:rsidR="00260F69" w:rsidRPr="001441FE">
        <w:rPr>
          <w:rFonts w:cstheme="minorHAnsi"/>
          <w:b/>
          <w:sz w:val="24"/>
          <w:szCs w:val="24"/>
        </w:rPr>
        <w:t xml:space="preserve"> Condition Change Selection Data</w:t>
      </w:r>
    </w:p>
    <w:p w14:paraId="3C69A693" w14:textId="77777777" w:rsidR="00A10474" w:rsidRDefault="00A10474" w:rsidP="00260F69">
      <w:pPr>
        <w:tabs>
          <w:tab w:val="left" w:pos="201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A2E7D8D" w14:textId="4731139F" w:rsidR="00B20785" w:rsidRDefault="00503CFA" w:rsidP="0061758E">
      <w:pPr>
        <w:spacing w:after="0" w:line="240" w:lineRule="auto"/>
        <w:rPr>
          <w:rFonts w:cstheme="minorHAnsi"/>
          <w:b/>
        </w:rPr>
      </w:pPr>
      <w:r>
        <w:rPr>
          <w:noProof/>
        </w:rPr>
        <w:drawing>
          <wp:inline distT="0" distB="0" distL="0" distR="0" wp14:anchorId="40CAA695" wp14:editId="63F3EA37">
            <wp:extent cx="5924550" cy="383857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826A34" w14:textId="77777777" w:rsidR="00503CFA" w:rsidRDefault="00503CFA" w:rsidP="0061758E">
      <w:pPr>
        <w:spacing w:after="0" w:line="240" w:lineRule="auto"/>
        <w:rPr>
          <w:rFonts w:cstheme="minorHAnsi"/>
          <w:b/>
        </w:rPr>
      </w:pPr>
    </w:p>
    <w:p w14:paraId="173337E5" w14:textId="316A3A34" w:rsidR="00593ACA" w:rsidRPr="00403F3F" w:rsidRDefault="00593ACA" w:rsidP="0061758E">
      <w:pPr>
        <w:spacing w:after="0" w:line="240" w:lineRule="auto"/>
        <w:rPr>
          <w:rFonts w:cstheme="minorHAnsi"/>
          <w:b/>
          <w:color w:val="FF0000"/>
        </w:rPr>
      </w:pPr>
      <w:r w:rsidRPr="009C6EAF">
        <w:rPr>
          <w:rFonts w:cstheme="minorHAnsi"/>
          <w:b/>
        </w:rPr>
        <w:t xml:space="preserve">FTE </w:t>
      </w:r>
      <w:r w:rsidR="00AA37EA">
        <w:rPr>
          <w:rFonts w:cstheme="minorHAnsi"/>
          <w:b/>
        </w:rPr>
        <w:t>A</w:t>
      </w:r>
      <w:r w:rsidRPr="009C6EAF">
        <w:rPr>
          <w:rFonts w:cstheme="minorHAnsi"/>
          <w:b/>
        </w:rPr>
        <w:t>ppointments</w:t>
      </w:r>
      <w:r w:rsidR="00403F3F">
        <w:rPr>
          <w:rFonts w:cstheme="minorHAnsi"/>
          <w:b/>
        </w:rPr>
        <w:t xml:space="preserve"> </w:t>
      </w:r>
      <w:r w:rsidR="00BE51DB">
        <w:rPr>
          <w:rFonts w:cstheme="minorHAnsi"/>
          <w:b/>
        </w:rPr>
        <w:t>of Respondents</w:t>
      </w:r>
    </w:p>
    <w:p w14:paraId="70CDD2F6" w14:textId="1735669D" w:rsidR="00593ACA" w:rsidRPr="000C7B76" w:rsidRDefault="00904C00" w:rsidP="0061758E">
      <w:pPr>
        <w:spacing w:after="0" w:line="240" w:lineRule="auto"/>
        <w:rPr>
          <w:rFonts w:cstheme="minorHAnsi"/>
        </w:rPr>
      </w:pPr>
      <w:r w:rsidRPr="009C6EAF">
        <w:rPr>
          <w:rFonts w:cstheme="minorHAnsi"/>
        </w:rPr>
        <w:t>The FTE m</w:t>
      </w:r>
      <w:r w:rsidR="00593ACA" w:rsidRPr="009C6EAF">
        <w:rPr>
          <w:rFonts w:cstheme="minorHAnsi"/>
        </w:rPr>
        <w:t xml:space="preserve">ean was </w:t>
      </w:r>
      <w:r w:rsidR="009C6EAF" w:rsidRPr="009C6EAF">
        <w:rPr>
          <w:rFonts w:ascii="Calibri" w:eastAsia="Times New Roman" w:hAnsi="Calibri" w:cs="Calibri"/>
          <w:color w:val="000000"/>
        </w:rPr>
        <w:t>0.</w:t>
      </w:r>
      <w:r w:rsidR="00563C97">
        <w:rPr>
          <w:rFonts w:ascii="Calibri" w:eastAsia="Times New Roman" w:hAnsi="Calibri" w:cs="Calibri"/>
          <w:color w:val="000000"/>
        </w:rPr>
        <w:t>9</w:t>
      </w:r>
      <w:r w:rsidR="006F500A">
        <w:rPr>
          <w:rFonts w:ascii="Calibri" w:eastAsia="Times New Roman" w:hAnsi="Calibri" w:cs="Calibri"/>
          <w:color w:val="000000"/>
        </w:rPr>
        <w:t>1</w:t>
      </w:r>
      <w:r w:rsidRPr="009C6EAF">
        <w:rPr>
          <w:rFonts w:ascii="Calibri" w:eastAsia="Times New Roman" w:hAnsi="Calibri" w:cs="Calibri"/>
          <w:color w:val="000000"/>
        </w:rPr>
        <w:t>, FTE m</w:t>
      </w:r>
      <w:r w:rsidR="00593ACA" w:rsidRPr="009C6EAF">
        <w:rPr>
          <w:rFonts w:ascii="Calibri" w:eastAsia="Times New Roman" w:hAnsi="Calibri" w:cs="Calibri"/>
          <w:color w:val="000000"/>
        </w:rPr>
        <w:t>edian was 1</w:t>
      </w:r>
      <w:r w:rsidR="00BE51DB">
        <w:rPr>
          <w:rFonts w:ascii="Calibri" w:eastAsia="Times New Roman" w:hAnsi="Calibri" w:cs="Calibri"/>
          <w:color w:val="000000"/>
        </w:rPr>
        <w:t>.00</w:t>
      </w:r>
      <w:r w:rsidR="00593ACA" w:rsidRPr="009C6EAF">
        <w:rPr>
          <w:rFonts w:ascii="Calibri" w:eastAsia="Times New Roman" w:hAnsi="Calibri" w:cs="Calibri"/>
          <w:color w:val="000000"/>
        </w:rPr>
        <w:t>, and</w:t>
      </w:r>
      <w:r w:rsidRPr="009C6EAF">
        <w:rPr>
          <w:rFonts w:ascii="Calibri" w:eastAsia="Times New Roman" w:hAnsi="Calibri" w:cs="Calibri"/>
          <w:color w:val="000000"/>
        </w:rPr>
        <w:t xml:space="preserve"> FTE m</w:t>
      </w:r>
      <w:r w:rsidR="00593ACA" w:rsidRPr="009C6EAF">
        <w:rPr>
          <w:rFonts w:ascii="Calibri" w:eastAsia="Times New Roman" w:hAnsi="Calibri" w:cs="Calibri"/>
          <w:color w:val="000000"/>
        </w:rPr>
        <w:t>ode was 1</w:t>
      </w:r>
      <w:r w:rsidR="00BE51DB">
        <w:rPr>
          <w:rFonts w:ascii="Calibri" w:eastAsia="Times New Roman" w:hAnsi="Calibri" w:cs="Calibri"/>
          <w:color w:val="000000"/>
        </w:rPr>
        <w:t>.00</w:t>
      </w:r>
      <w:r w:rsidR="00593ACA" w:rsidRPr="009C6EAF">
        <w:rPr>
          <w:rFonts w:ascii="Calibri" w:eastAsia="Times New Roman" w:hAnsi="Calibri" w:cs="Calibri"/>
          <w:color w:val="000000"/>
        </w:rPr>
        <w:t>.</w:t>
      </w:r>
    </w:p>
    <w:p w14:paraId="4E3E4E59" w14:textId="10688CBC" w:rsidR="000C7B76" w:rsidRDefault="000C7B76" w:rsidP="0061758E">
      <w:pPr>
        <w:spacing w:after="0" w:line="240" w:lineRule="auto"/>
        <w:rPr>
          <w:rFonts w:cstheme="minorHAnsi"/>
        </w:rPr>
      </w:pPr>
    </w:p>
    <w:p w14:paraId="15EBB721" w14:textId="55DD173D" w:rsidR="000C7B76" w:rsidRDefault="000C7B76" w:rsidP="0061758E">
      <w:pPr>
        <w:spacing w:after="0" w:line="240" w:lineRule="auto"/>
        <w:rPr>
          <w:rFonts w:cstheme="minorHAnsi"/>
        </w:rPr>
      </w:pPr>
    </w:p>
    <w:p w14:paraId="425EA54A" w14:textId="77777777" w:rsidR="001A167A" w:rsidRDefault="001A167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A24EAA7" w14:textId="77777777" w:rsidR="001A167A" w:rsidRDefault="001A167A" w:rsidP="0061758E">
      <w:pPr>
        <w:spacing w:after="0" w:line="240" w:lineRule="auto"/>
        <w:rPr>
          <w:rFonts w:cstheme="minorHAnsi"/>
          <w:b/>
        </w:rPr>
      </w:pPr>
    </w:p>
    <w:p w14:paraId="7336FA09" w14:textId="77777777" w:rsidR="001A167A" w:rsidRDefault="001A167A" w:rsidP="0061758E">
      <w:pPr>
        <w:spacing w:after="0" w:line="240" w:lineRule="auto"/>
        <w:rPr>
          <w:rFonts w:cstheme="minorHAnsi"/>
          <w:b/>
        </w:rPr>
      </w:pPr>
    </w:p>
    <w:p w14:paraId="3AE32B34" w14:textId="154AD76C" w:rsidR="005E4274" w:rsidRPr="00AA37EA" w:rsidRDefault="005E4274" w:rsidP="0061758E">
      <w:pPr>
        <w:spacing w:after="0" w:line="240" w:lineRule="auto"/>
        <w:rPr>
          <w:rFonts w:cstheme="minorHAnsi"/>
          <w:b/>
          <w:sz w:val="24"/>
          <w:szCs w:val="24"/>
        </w:rPr>
      </w:pPr>
      <w:r w:rsidRPr="00AA37EA">
        <w:rPr>
          <w:rFonts w:cstheme="minorHAnsi"/>
          <w:b/>
          <w:sz w:val="24"/>
          <w:szCs w:val="24"/>
        </w:rPr>
        <w:t>Qualitative summary of self-defined condition changes</w:t>
      </w:r>
    </w:p>
    <w:p w14:paraId="1C3C10ED" w14:textId="77777777" w:rsidR="001A300D" w:rsidRPr="00D15C4D" w:rsidRDefault="001A300D" w:rsidP="0061758E">
      <w:pPr>
        <w:spacing w:after="0" w:line="240" w:lineRule="auto"/>
        <w:rPr>
          <w:rFonts w:cstheme="minorHAnsi"/>
          <w:b/>
        </w:rPr>
      </w:pPr>
    </w:p>
    <w:p w14:paraId="3434C0E3" w14:textId="65AB9998" w:rsidR="00A507D6" w:rsidRDefault="004E4030" w:rsidP="0061758E">
      <w:pPr>
        <w:spacing w:after="0" w:line="240" w:lineRule="auto"/>
        <w:rPr>
          <w:rFonts w:cstheme="minorHAnsi"/>
        </w:rPr>
      </w:pPr>
      <w:r>
        <w:rPr>
          <w:rFonts w:cstheme="minorHAnsi"/>
        </w:rPr>
        <w:t>6</w:t>
      </w:r>
      <w:r w:rsidR="0049591D" w:rsidRPr="00026AC2">
        <w:rPr>
          <w:rFonts w:cstheme="minorHAnsi"/>
        </w:rPr>
        <w:t xml:space="preserve"> </w:t>
      </w:r>
      <w:r w:rsidR="008402F5" w:rsidRPr="00026AC2">
        <w:rPr>
          <w:rFonts w:cstheme="minorHAnsi"/>
        </w:rPr>
        <w:t>Respondents</w:t>
      </w:r>
      <w:r w:rsidR="00EC60D8" w:rsidRPr="00026AC2">
        <w:rPr>
          <w:rFonts w:cstheme="minorHAnsi"/>
        </w:rPr>
        <w:t xml:space="preserve"> </w:t>
      </w:r>
      <w:r w:rsidR="00026AC2" w:rsidRPr="00026AC2">
        <w:rPr>
          <w:rFonts w:cstheme="minorHAnsi"/>
        </w:rPr>
        <w:t>(</w:t>
      </w:r>
      <w:r>
        <w:rPr>
          <w:rFonts w:cstheme="minorHAnsi"/>
        </w:rPr>
        <w:t>2</w:t>
      </w:r>
      <w:r w:rsidR="00F50518" w:rsidRPr="00026AC2">
        <w:rPr>
          <w:rFonts w:cstheme="minorHAnsi"/>
        </w:rPr>
        <w:t xml:space="preserve"> </w:t>
      </w:r>
      <w:r w:rsidR="0037342A">
        <w:rPr>
          <w:rFonts w:cstheme="minorHAnsi"/>
        </w:rPr>
        <w:t xml:space="preserve">UC </w:t>
      </w:r>
      <w:r w:rsidR="00026AC2" w:rsidRPr="00026AC2">
        <w:rPr>
          <w:rFonts w:cstheme="minorHAnsi"/>
        </w:rPr>
        <w:t xml:space="preserve">4-H, </w:t>
      </w:r>
      <w:r>
        <w:rPr>
          <w:rFonts w:cstheme="minorHAnsi"/>
        </w:rPr>
        <w:t>3</w:t>
      </w:r>
      <w:r w:rsidR="00F50518" w:rsidRPr="00026AC2">
        <w:rPr>
          <w:rFonts w:cstheme="minorHAnsi"/>
        </w:rPr>
        <w:t xml:space="preserve"> </w:t>
      </w:r>
      <w:r w:rsidR="0037342A">
        <w:rPr>
          <w:rFonts w:cstheme="minorHAnsi"/>
        </w:rPr>
        <w:t xml:space="preserve">UC </w:t>
      </w:r>
      <w:r w:rsidR="00E003C2" w:rsidRPr="00026AC2">
        <w:rPr>
          <w:rFonts w:cstheme="minorHAnsi"/>
        </w:rPr>
        <w:t>Master Gardener</w:t>
      </w:r>
      <w:r>
        <w:rPr>
          <w:rFonts w:cstheme="minorHAnsi"/>
        </w:rPr>
        <w:t>, 1 REC</w:t>
      </w:r>
      <w:r w:rsidR="00F50518" w:rsidRPr="00026AC2">
        <w:rPr>
          <w:rFonts w:cstheme="minorHAnsi"/>
        </w:rPr>
        <w:t xml:space="preserve">) </w:t>
      </w:r>
      <w:r w:rsidR="00EC60D8" w:rsidRPr="00026AC2">
        <w:rPr>
          <w:rFonts w:cstheme="minorHAnsi"/>
        </w:rPr>
        <w:t xml:space="preserve">entered </w:t>
      </w:r>
      <w:r>
        <w:rPr>
          <w:rFonts w:cstheme="minorHAnsi"/>
        </w:rPr>
        <w:t>7</w:t>
      </w:r>
      <w:r w:rsidR="00F63BDB">
        <w:rPr>
          <w:rFonts w:cstheme="minorHAnsi"/>
        </w:rPr>
        <w:t xml:space="preserve"> </w:t>
      </w:r>
      <w:r w:rsidR="00EC60D8" w:rsidRPr="00026AC2">
        <w:rPr>
          <w:rFonts w:cstheme="minorHAnsi"/>
        </w:rPr>
        <w:t>s</w:t>
      </w:r>
      <w:r w:rsidR="0049591D" w:rsidRPr="00026AC2">
        <w:rPr>
          <w:rFonts w:cstheme="minorHAnsi"/>
        </w:rPr>
        <w:t>elf-defined condition chang</w:t>
      </w:r>
      <w:r w:rsidR="00026AC2" w:rsidRPr="00026AC2">
        <w:rPr>
          <w:rFonts w:cstheme="minorHAnsi"/>
        </w:rPr>
        <w:t>es</w:t>
      </w:r>
      <w:r w:rsidR="00642333" w:rsidRPr="00026AC2">
        <w:rPr>
          <w:rFonts w:cstheme="minorHAnsi"/>
        </w:rPr>
        <w:t xml:space="preserve">, for a total of </w:t>
      </w:r>
      <w:r>
        <w:rPr>
          <w:rFonts w:cstheme="minorHAnsi"/>
        </w:rPr>
        <w:t>2.03</w:t>
      </w:r>
      <w:r w:rsidR="00EC60D8" w:rsidRPr="00026AC2">
        <w:rPr>
          <w:rFonts w:cstheme="minorHAnsi"/>
        </w:rPr>
        <w:t xml:space="preserve"> FTE.</w:t>
      </w:r>
      <w:r w:rsidR="003162F3" w:rsidRPr="00017FC8">
        <w:rPr>
          <w:rFonts w:cstheme="minorHAnsi"/>
        </w:rPr>
        <w:t xml:space="preserve"> These self-defined condition changes are listed below, organized by common themes</w:t>
      </w:r>
      <w:r w:rsidR="003162F3">
        <w:rPr>
          <w:rFonts w:cstheme="minorHAnsi"/>
        </w:rPr>
        <w:t>/Public Values Statements</w:t>
      </w:r>
      <w:r w:rsidR="003162F3" w:rsidRPr="00017FC8">
        <w:rPr>
          <w:rFonts w:cstheme="minorHAnsi"/>
        </w:rPr>
        <w:t>.</w:t>
      </w:r>
    </w:p>
    <w:p w14:paraId="5CC2F95D" w14:textId="43860FB1" w:rsidR="003162F3" w:rsidRDefault="003162F3" w:rsidP="0061758E">
      <w:pPr>
        <w:spacing w:after="0" w:line="240" w:lineRule="auto"/>
        <w:rPr>
          <w:rFonts w:cstheme="minorHAnsi"/>
        </w:rPr>
      </w:pPr>
    </w:p>
    <w:p w14:paraId="626DA47B" w14:textId="2B00FCFB" w:rsidR="009212C1" w:rsidRDefault="009212C1" w:rsidP="009212C1">
      <w:pPr>
        <w:pStyle w:val="ListParagraph"/>
        <w:numPr>
          <w:ilvl w:val="0"/>
          <w:numId w:val="11"/>
        </w:numPr>
        <w:rPr>
          <w:rFonts w:cstheme="minorHAnsi"/>
        </w:rPr>
      </w:pPr>
      <w:r w:rsidRPr="00C31B81">
        <w:rPr>
          <w:rFonts w:cstheme="minorHAnsi"/>
          <w:b/>
        </w:rPr>
        <w:t>Administration/Director (County/REC/SWP)</w:t>
      </w:r>
      <w:r w:rsidRPr="00290BE6">
        <w:rPr>
          <w:rFonts w:cstheme="minorHAnsi"/>
        </w:rPr>
        <w:t xml:space="preserve">: </w:t>
      </w:r>
      <w:r>
        <w:rPr>
          <w:rFonts w:cstheme="minorHAnsi"/>
        </w:rPr>
        <w:t xml:space="preserve">1 respondent, 1 self-defined condition change, 0.75 FTE </w:t>
      </w:r>
    </w:p>
    <w:p w14:paraId="508CBD41" w14:textId="3D9FFD75" w:rsidR="003162F3" w:rsidRPr="0053006A" w:rsidRDefault="003D20E2" w:rsidP="004F335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</w:rPr>
        <w:t>Communities</w:t>
      </w:r>
      <w:r w:rsidR="003162F3">
        <w:rPr>
          <w:rFonts w:cstheme="minorHAnsi"/>
        </w:rPr>
        <w:t xml:space="preserve">:  </w:t>
      </w:r>
      <w:r w:rsidR="004E4030">
        <w:rPr>
          <w:rFonts w:cstheme="minorHAnsi"/>
        </w:rPr>
        <w:t>2</w:t>
      </w:r>
      <w:r w:rsidR="003162F3" w:rsidRPr="0066127F">
        <w:rPr>
          <w:rFonts w:cstheme="minorHAnsi"/>
        </w:rPr>
        <w:t xml:space="preserve"> </w:t>
      </w:r>
      <w:r w:rsidRPr="0066127F">
        <w:rPr>
          <w:rFonts w:cstheme="minorHAnsi"/>
        </w:rPr>
        <w:t>respondents</w:t>
      </w:r>
      <w:r w:rsidR="003162F3" w:rsidRPr="0066127F">
        <w:rPr>
          <w:rFonts w:cstheme="minorHAnsi"/>
        </w:rPr>
        <w:t xml:space="preserve">, </w:t>
      </w:r>
      <w:r w:rsidR="004E4030">
        <w:rPr>
          <w:rFonts w:cstheme="minorHAnsi"/>
        </w:rPr>
        <w:t>0.68</w:t>
      </w:r>
      <w:r w:rsidR="00F12B2F" w:rsidRPr="0066127F">
        <w:rPr>
          <w:rFonts w:cstheme="minorHAnsi"/>
        </w:rPr>
        <w:t xml:space="preserve"> </w:t>
      </w:r>
      <w:r w:rsidR="00F12B2F" w:rsidRPr="0053006A">
        <w:rPr>
          <w:rFonts w:cstheme="minorHAnsi"/>
        </w:rPr>
        <w:t>FTE</w:t>
      </w:r>
      <w:r w:rsidR="00FD44BC" w:rsidRPr="0053006A">
        <w:rPr>
          <w:rFonts w:cstheme="minorHAnsi"/>
          <w:i/>
        </w:rPr>
        <w:t xml:space="preserve"> (</w:t>
      </w:r>
      <w:r w:rsidR="002A70DA" w:rsidRPr="002A70DA">
        <w:rPr>
          <w:rFonts w:cstheme="minorHAnsi"/>
          <w:i/>
        </w:rPr>
        <w:t>Increase youths</w:t>
      </w:r>
      <w:r w:rsidR="009212C1">
        <w:rPr>
          <w:rFonts w:cstheme="minorHAnsi"/>
          <w:i/>
        </w:rPr>
        <w:t>’</w:t>
      </w:r>
      <w:r w:rsidR="002A70DA" w:rsidRPr="002A70DA">
        <w:rPr>
          <w:rFonts w:cstheme="minorHAnsi"/>
          <w:i/>
        </w:rPr>
        <w:t xml:space="preserve"> ability to grow and lead in their community</w:t>
      </w:r>
      <w:r w:rsidR="002A70DA">
        <w:rPr>
          <w:rFonts w:cstheme="minorHAnsi"/>
          <w:i/>
        </w:rPr>
        <w:t xml:space="preserve">; </w:t>
      </w:r>
      <w:r w:rsidR="002A70DA" w:rsidRPr="002A70DA">
        <w:rPr>
          <w:rFonts w:cstheme="minorHAnsi"/>
          <w:i/>
        </w:rPr>
        <w:t>Self-defined represents the general overall development of growing youth in the realm of diversity, inclusiveness, leadership, healthy lifestyles, and positive community change</w:t>
      </w:r>
      <w:r w:rsidR="006453A9" w:rsidRPr="0053006A">
        <w:rPr>
          <w:rFonts w:cstheme="minorHAnsi"/>
          <w:i/>
        </w:rPr>
        <w:t>)</w:t>
      </w:r>
    </w:p>
    <w:p w14:paraId="7719A48D" w14:textId="458EF4F3" w:rsidR="003162F3" w:rsidRPr="0053006A" w:rsidRDefault="003162F3" w:rsidP="0053006A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</w:rPr>
        <w:t xml:space="preserve">Environments: </w:t>
      </w:r>
      <w:r w:rsidR="006A7804">
        <w:rPr>
          <w:rFonts w:cstheme="minorHAnsi"/>
          <w:b/>
        </w:rPr>
        <w:t>2</w:t>
      </w:r>
      <w:r>
        <w:rPr>
          <w:rFonts w:cstheme="minorHAnsi"/>
        </w:rPr>
        <w:t xml:space="preserve"> </w:t>
      </w:r>
      <w:r w:rsidR="003C0610">
        <w:rPr>
          <w:rFonts w:cstheme="minorHAnsi"/>
        </w:rPr>
        <w:t>respondent</w:t>
      </w:r>
      <w:r w:rsidR="006A7804">
        <w:rPr>
          <w:rFonts w:cstheme="minorHAnsi"/>
        </w:rPr>
        <w:t>s</w:t>
      </w:r>
      <w:r>
        <w:rPr>
          <w:rFonts w:cstheme="minorHAnsi"/>
        </w:rPr>
        <w:t xml:space="preserve">, </w:t>
      </w:r>
      <w:r w:rsidR="003C0610">
        <w:rPr>
          <w:rFonts w:cstheme="minorHAnsi"/>
        </w:rPr>
        <w:t>0</w:t>
      </w:r>
      <w:r>
        <w:rPr>
          <w:rFonts w:cstheme="minorHAnsi"/>
        </w:rPr>
        <w:t>.</w:t>
      </w:r>
      <w:r w:rsidR="008F43D7">
        <w:rPr>
          <w:rFonts w:cstheme="minorHAnsi"/>
        </w:rPr>
        <w:t>5</w:t>
      </w:r>
      <w:r w:rsidR="006A7804">
        <w:rPr>
          <w:rFonts w:cstheme="minorHAnsi"/>
        </w:rPr>
        <w:t>0</w:t>
      </w:r>
      <w:r w:rsidR="00F12B2F">
        <w:rPr>
          <w:rFonts w:cstheme="minorHAnsi"/>
        </w:rPr>
        <w:t xml:space="preserve"> </w:t>
      </w:r>
      <w:r w:rsidR="00F12B2F" w:rsidRPr="0053006A">
        <w:rPr>
          <w:rFonts w:cstheme="minorHAnsi"/>
        </w:rPr>
        <w:t>FTE</w:t>
      </w:r>
      <w:r w:rsidR="00D90ED9" w:rsidRPr="0053006A">
        <w:rPr>
          <w:rFonts w:cstheme="minorHAnsi"/>
        </w:rPr>
        <w:t xml:space="preserve"> </w:t>
      </w:r>
      <w:r w:rsidR="00D90ED9" w:rsidRPr="0053006A">
        <w:rPr>
          <w:rFonts w:cstheme="minorHAnsi"/>
          <w:i/>
        </w:rPr>
        <w:t>(</w:t>
      </w:r>
      <w:r w:rsidR="006A7804" w:rsidRPr="006A7804">
        <w:rPr>
          <w:rFonts w:cstheme="minorHAnsi"/>
          <w:i/>
        </w:rPr>
        <w:t>Managing pests and conserving pollinators</w:t>
      </w:r>
      <w:r w:rsidR="006A7804">
        <w:rPr>
          <w:rFonts w:cstheme="minorHAnsi"/>
          <w:i/>
        </w:rPr>
        <w:t xml:space="preserve">; </w:t>
      </w:r>
      <w:r w:rsidR="006A7804" w:rsidRPr="006A7804">
        <w:rPr>
          <w:rFonts w:cstheme="minorHAnsi"/>
          <w:i/>
        </w:rPr>
        <w:t>Organic/green waste diversion - Classes on composting and ways to reduce/divert organics from landfills</w:t>
      </w:r>
      <w:r w:rsidR="006A7804">
        <w:rPr>
          <w:rFonts w:cstheme="minorHAnsi"/>
          <w:i/>
        </w:rPr>
        <w:t xml:space="preserve">; </w:t>
      </w:r>
      <w:r w:rsidR="006A7804" w:rsidRPr="006A7804">
        <w:rPr>
          <w:rFonts w:cstheme="minorHAnsi"/>
          <w:i/>
        </w:rPr>
        <w:t>I run Climate Stewards and California Naturalist Program courses for the Hopland REC</w:t>
      </w:r>
      <w:r w:rsidR="00D90ED9" w:rsidRPr="0053006A">
        <w:rPr>
          <w:rFonts w:cstheme="minorHAnsi"/>
          <w:i/>
        </w:rPr>
        <w:t>)</w:t>
      </w:r>
    </w:p>
    <w:p w14:paraId="54DAEFB5" w14:textId="7904AFB2" w:rsidR="008B2374" w:rsidRPr="00900AEA" w:rsidRDefault="006A7804" w:rsidP="008F43D7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</w:rPr>
        <w:t>Climate Resiliency</w:t>
      </w:r>
      <w:r w:rsidR="00F12B2F">
        <w:rPr>
          <w:rFonts w:cstheme="minorHAnsi"/>
        </w:rPr>
        <w:t>:  1 respondent,</w:t>
      </w:r>
      <w:r>
        <w:rPr>
          <w:rFonts w:cstheme="minorHAnsi"/>
        </w:rPr>
        <w:t xml:space="preserve"> 0.10</w:t>
      </w:r>
      <w:r w:rsidR="00F12B2F">
        <w:rPr>
          <w:rFonts w:cstheme="minorHAnsi"/>
        </w:rPr>
        <w:t xml:space="preserve"> FTE</w:t>
      </w:r>
      <w:r w:rsidR="00D90ED9">
        <w:rPr>
          <w:rFonts w:cstheme="minorHAnsi"/>
        </w:rPr>
        <w:t xml:space="preserve"> </w:t>
      </w:r>
      <w:r w:rsidR="00D90ED9" w:rsidRPr="00260B91">
        <w:rPr>
          <w:rFonts w:cstheme="minorHAnsi"/>
          <w:i/>
        </w:rPr>
        <w:t>(</w:t>
      </w:r>
      <w:r w:rsidRPr="006A7804">
        <w:rPr>
          <w:rFonts w:cstheme="minorHAnsi"/>
          <w:i/>
        </w:rPr>
        <w:t xml:space="preserve">Increased awareness of climate change and its </w:t>
      </w:r>
      <w:r w:rsidR="009212C1">
        <w:rPr>
          <w:rFonts w:cstheme="minorHAnsi"/>
          <w:i/>
        </w:rPr>
        <w:t>e</w:t>
      </w:r>
      <w:r w:rsidRPr="006A7804">
        <w:rPr>
          <w:rFonts w:cstheme="minorHAnsi"/>
          <w:i/>
        </w:rPr>
        <w:t>ffect on people, environment. Improved lives by making them aware of resources and what they can proactively do</w:t>
      </w:r>
      <w:r w:rsidR="00D90ED9" w:rsidRPr="00260B91">
        <w:rPr>
          <w:rFonts w:cstheme="minorHAnsi"/>
          <w:i/>
        </w:rPr>
        <w:t>)</w:t>
      </w:r>
    </w:p>
    <w:p w14:paraId="7522DF4A" w14:textId="77777777" w:rsidR="001A300D" w:rsidRDefault="001A300D" w:rsidP="000E219C">
      <w:pPr>
        <w:spacing w:after="0" w:line="240" w:lineRule="auto"/>
        <w:rPr>
          <w:rFonts w:cstheme="minorHAnsi"/>
          <w:sz w:val="24"/>
          <w:szCs w:val="24"/>
        </w:rPr>
      </w:pPr>
    </w:p>
    <w:p w14:paraId="7D55E0F0" w14:textId="4FE14FA6" w:rsidR="000E219C" w:rsidRPr="001A167A" w:rsidRDefault="000E219C" w:rsidP="00FE3867">
      <w:pPr>
        <w:tabs>
          <w:tab w:val="left" w:pos="147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167A">
        <w:rPr>
          <w:rFonts w:cstheme="minorHAnsi"/>
          <w:b/>
          <w:bCs/>
          <w:sz w:val="24"/>
          <w:szCs w:val="24"/>
        </w:rPr>
        <w:t>Table 3:</w:t>
      </w:r>
      <w:r w:rsidR="00FE3867" w:rsidRPr="001A167A">
        <w:rPr>
          <w:rFonts w:cstheme="minorHAnsi"/>
          <w:b/>
          <w:bCs/>
          <w:sz w:val="24"/>
          <w:szCs w:val="24"/>
        </w:rPr>
        <w:t xml:space="preserve"> </w:t>
      </w:r>
      <w:r w:rsidR="00910AE7" w:rsidRPr="001A167A">
        <w:rPr>
          <w:rFonts w:cstheme="minorHAnsi"/>
          <w:b/>
          <w:bCs/>
          <w:sz w:val="24"/>
          <w:szCs w:val="24"/>
        </w:rPr>
        <w:t># and % of</w:t>
      </w:r>
      <w:r w:rsidR="00FE3867" w:rsidRPr="001A167A">
        <w:rPr>
          <w:rFonts w:cstheme="minorHAnsi"/>
          <w:b/>
          <w:bCs/>
          <w:sz w:val="24"/>
          <w:szCs w:val="24"/>
        </w:rPr>
        <w:t xml:space="preserve"> </w:t>
      </w:r>
      <w:r w:rsidR="00910AE7" w:rsidRPr="001A167A">
        <w:rPr>
          <w:rFonts w:cstheme="minorHAnsi"/>
          <w:b/>
          <w:bCs/>
          <w:sz w:val="24"/>
          <w:szCs w:val="24"/>
        </w:rPr>
        <w:t>R</w:t>
      </w:r>
      <w:r w:rsidR="00FE3867" w:rsidRPr="001A167A">
        <w:rPr>
          <w:rFonts w:cstheme="minorHAnsi"/>
          <w:b/>
          <w:bCs/>
          <w:sz w:val="24"/>
          <w:szCs w:val="24"/>
        </w:rPr>
        <w:t xml:space="preserve">espondents </w:t>
      </w:r>
      <w:r w:rsidR="00960898" w:rsidRPr="001A167A">
        <w:rPr>
          <w:rFonts w:cstheme="minorHAnsi"/>
          <w:b/>
          <w:bCs/>
          <w:sz w:val="24"/>
          <w:szCs w:val="24"/>
        </w:rPr>
        <w:t xml:space="preserve">who </w:t>
      </w:r>
      <w:r w:rsidR="00910AE7" w:rsidRPr="001A167A">
        <w:rPr>
          <w:rFonts w:cstheme="minorHAnsi"/>
          <w:b/>
          <w:bCs/>
          <w:sz w:val="24"/>
          <w:szCs w:val="24"/>
        </w:rPr>
        <w:t>S</w:t>
      </w:r>
      <w:r w:rsidR="00960898" w:rsidRPr="001A167A">
        <w:rPr>
          <w:rFonts w:cstheme="minorHAnsi"/>
          <w:b/>
          <w:bCs/>
          <w:sz w:val="24"/>
          <w:szCs w:val="24"/>
        </w:rPr>
        <w:t xml:space="preserve">elected </w:t>
      </w:r>
      <w:r w:rsidR="00910AE7" w:rsidRPr="001A167A">
        <w:rPr>
          <w:rFonts w:cstheme="minorHAnsi"/>
          <w:b/>
          <w:bCs/>
          <w:sz w:val="24"/>
          <w:szCs w:val="24"/>
        </w:rPr>
        <w:t>S</w:t>
      </w:r>
      <w:r w:rsidR="00960898" w:rsidRPr="001A167A">
        <w:rPr>
          <w:rFonts w:cstheme="minorHAnsi"/>
          <w:b/>
          <w:bCs/>
          <w:sz w:val="24"/>
          <w:szCs w:val="24"/>
        </w:rPr>
        <w:t>elf-</w:t>
      </w:r>
      <w:r w:rsidR="00910AE7" w:rsidRPr="001A167A">
        <w:rPr>
          <w:rFonts w:cstheme="minorHAnsi"/>
          <w:b/>
          <w:bCs/>
          <w:sz w:val="24"/>
          <w:szCs w:val="24"/>
        </w:rPr>
        <w:t>D</w:t>
      </w:r>
      <w:r w:rsidR="00960898" w:rsidRPr="001A167A">
        <w:rPr>
          <w:rFonts w:cstheme="minorHAnsi"/>
          <w:b/>
          <w:bCs/>
          <w:sz w:val="24"/>
          <w:szCs w:val="24"/>
        </w:rPr>
        <w:t xml:space="preserve">efined </w:t>
      </w:r>
      <w:r w:rsidR="00910AE7" w:rsidRPr="001A167A">
        <w:rPr>
          <w:rFonts w:cstheme="minorHAnsi"/>
          <w:b/>
          <w:bCs/>
          <w:sz w:val="24"/>
          <w:szCs w:val="24"/>
        </w:rPr>
        <w:t>C</w:t>
      </w:r>
      <w:r w:rsidR="00960898" w:rsidRPr="001A167A">
        <w:rPr>
          <w:rFonts w:cstheme="minorHAnsi"/>
          <w:b/>
          <w:bCs/>
          <w:sz w:val="24"/>
          <w:szCs w:val="24"/>
        </w:rPr>
        <w:t xml:space="preserve">ondition </w:t>
      </w:r>
      <w:r w:rsidR="00910AE7" w:rsidRPr="001A167A">
        <w:rPr>
          <w:rFonts w:cstheme="minorHAnsi"/>
          <w:b/>
          <w:bCs/>
          <w:sz w:val="24"/>
          <w:szCs w:val="24"/>
        </w:rPr>
        <w:t>C</w:t>
      </w:r>
      <w:r w:rsidR="00960898" w:rsidRPr="001A167A">
        <w:rPr>
          <w:rFonts w:cstheme="minorHAnsi"/>
          <w:b/>
          <w:bCs/>
          <w:sz w:val="24"/>
          <w:szCs w:val="24"/>
        </w:rPr>
        <w:t>hanges</w:t>
      </w:r>
      <w:r w:rsidR="002F002A" w:rsidRPr="001A167A">
        <w:rPr>
          <w:rFonts w:cstheme="minorHAnsi"/>
          <w:b/>
          <w:bCs/>
          <w:sz w:val="24"/>
          <w:szCs w:val="24"/>
        </w:rPr>
        <w:t xml:space="preserve"> – </w:t>
      </w:r>
      <w:r w:rsidR="009B180E" w:rsidRPr="001A167A">
        <w:rPr>
          <w:rFonts w:cstheme="minorHAnsi"/>
          <w:b/>
          <w:bCs/>
          <w:sz w:val="24"/>
          <w:szCs w:val="24"/>
        </w:rPr>
        <w:t>2018, 2021, 2022</w:t>
      </w:r>
    </w:p>
    <w:p w14:paraId="62A3499A" w14:textId="77777777" w:rsidR="000E219C" w:rsidRPr="00C63BBA" w:rsidRDefault="000E219C" w:rsidP="000E219C">
      <w:pPr>
        <w:spacing w:after="0" w:line="240" w:lineRule="auto"/>
        <w:rPr>
          <w:rFonts w:cstheme="minorHAnsi"/>
          <w:sz w:val="4"/>
          <w:szCs w:val="4"/>
        </w:rPr>
      </w:pPr>
    </w:p>
    <w:p w14:paraId="2D4B80DF" w14:textId="77777777" w:rsidR="000E219C" w:rsidRPr="006A6C68" w:rsidRDefault="000E219C" w:rsidP="000E219C">
      <w:pPr>
        <w:spacing w:after="0" w:line="240" w:lineRule="auto"/>
        <w:rPr>
          <w:rFonts w:cstheme="minorHAnsi"/>
          <w:b/>
          <w:sz w:val="12"/>
          <w:szCs w:val="12"/>
        </w:rPr>
      </w:pPr>
    </w:p>
    <w:tbl>
      <w:tblPr>
        <w:tblW w:w="859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20"/>
        <w:gridCol w:w="810"/>
        <w:gridCol w:w="6182"/>
      </w:tblGrid>
      <w:tr w:rsidR="00BD4277" w:rsidRPr="003358E8" w14:paraId="62676938" w14:textId="77777777" w:rsidTr="00692235">
        <w:tc>
          <w:tcPr>
            <w:tcW w:w="88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84448" w14:textId="0763D29F" w:rsidR="00BD4277" w:rsidRDefault="00BD4277" w:rsidP="00BD42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FY18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A605719" w14:textId="59714597" w:rsidR="00BD4277" w:rsidRDefault="00BD4277" w:rsidP="006922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FY21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CFA24DC" w14:textId="487DC2D8" w:rsidR="00BD4277" w:rsidRDefault="00BD4277" w:rsidP="00BD42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FY22</w:t>
            </w:r>
          </w:p>
        </w:tc>
        <w:tc>
          <w:tcPr>
            <w:tcW w:w="6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4F066" w14:textId="77777777" w:rsidR="00BD4277" w:rsidRDefault="00BD4277" w:rsidP="00BD42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D4277" w:rsidRPr="003358E8" w14:paraId="3D5C97C4" w14:textId="77777777" w:rsidTr="00692235">
        <w:tc>
          <w:tcPr>
            <w:tcW w:w="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F9C84" w14:textId="3816B536" w:rsidR="00BD4277" w:rsidRDefault="00692235" w:rsidP="00BD42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720" w:type="dxa"/>
          </w:tcPr>
          <w:p w14:paraId="22304C17" w14:textId="572BD949" w:rsidR="00BD4277" w:rsidRDefault="00692235" w:rsidP="006922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810" w:type="dxa"/>
          </w:tcPr>
          <w:p w14:paraId="0CD4546C" w14:textId="0DD7AFD5" w:rsidR="00BD4277" w:rsidRDefault="00BD4277" w:rsidP="00BD42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6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75C4B" w14:textId="371EA81D" w:rsidR="00BD4277" w:rsidRDefault="00BD4277" w:rsidP="00BD42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 of Community Educators respondents</w:t>
            </w:r>
          </w:p>
        </w:tc>
      </w:tr>
      <w:tr w:rsidR="00BD4277" w:rsidRPr="003358E8" w14:paraId="17EDD5AB" w14:textId="77777777" w:rsidTr="00692235">
        <w:tc>
          <w:tcPr>
            <w:tcW w:w="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E0F8" w14:textId="4122A6A9" w:rsidR="00BD4277" w:rsidRPr="003358E8" w:rsidRDefault="00BD4277" w:rsidP="00BD42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20" w:type="dxa"/>
          </w:tcPr>
          <w:p w14:paraId="14C15F81" w14:textId="6A321664" w:rsidR="00BD4277" w:rsidRDefault="00BD4277" w:rsidP="006922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10" w:type="dxa"/>
          </w:tcPr>
          <w:p w14:paraId="292DBFE6" w14:textId="26814783" w:rsidR="00BD4277" w:rsidRDefault="00BD4277" w:rsidP="00BD42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790E0" w14:textId="10AA5A0C" w:rsidR="00BD4277" w:rsidRPr="003358E8" w:rsidRDefault="00BD4277" w:rsidP="00BD42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of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respondents who selected self-defined condition changes</w:t>
            </w:r>
          </w:p>
        </w:tc>
      </w:tr>
      <w:tr w:rsidR="00BD4277" w:rsidRPr="001C7B15" w14:paraId="71A8F037" w14:textId="77777777" w:rsidTr="00692235">
        <w:tc>
          <w:tcPr>
            <w:tcW w:w="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2975" w14:textId="17C385E6" w:rsidR="00BD4277" w:rsidRPr="00D84B25" w:rsidRDefault="00BD4277" w:rsidP="00BD42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  <w:r w:rsidR="00692235">
              <w:rPr>
                <w:rFonts w:ascii="Calibri" w:hAnsi="Calibri" w:cs="Calibri"/>
              </w:rPr>
              <w:t>3.6</w:t>
            </w:r>
            <w:r w:rsidRPr="00206B43">
              <w:rPr>
                <w:rFonts w:ascii="Calibri" w:hAnsi="Calibri" w:cs="Calibri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14:paraId="1DE640EF" w14:textId="4E1F55D8" w:rsidR="00BD4277" w:rsidRPr="00D84B25" w:rsidRDefault="00BD4277" w:rsidP="006922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92235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67A040E6" w14:textId="1413FEAB" w:rsidR="00BD4277" w:rsidRPr="00D84B25" w:rsidRDefault="00BD4277" w:rsidP="00BD42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692235">
              <w:rPr>
                <w:rFonts w:ascii="Calibri" w:hAnsi="Calibri" w:cs="Calibri"/>
                <w:color w:val="000000"/>
              </w:rPr>
              <w:t>.3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6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6ADDF" w14:textId="751ADE02" w:rsidR="00BD4277" w:rsidRPr="00D84B25" w:rsidRDefault="00BD4277" w:rsidP="00BD4277">
            <w:pPr>
              <w:spacing w:after="0" w:line="240" w:lineRule="auto"/>
              <w:rPr>
                <w:rFonts w:cstheme="minorHAnsi"/>
              </w:rPr>
            </w:pPr>
            <w:r w:rsidRPr="00D84B25">
              <w:rPr>
                <w:rFonts w:ascii="Calibri" w:hAnsi="Calibri" w:cs="Calibri"/>
                <w:color w:val="000000"/>
              </w:rPr>
              <w:t xml:space="preserve">% </w:t>
            </w:r>
            <w:proofErr w:type="gramStart"/>
            <w:r w:rsidRPr="00D84B25">
              <w:rPr>
                <w:rFonts w:ascii="Calibri" w:hAnsi="Calibri" w:cs="Calibri"/>
                <w:color w:val="000000"/>
              </w:rPr>
              <w:t>of</w:t>
            </w:r>
            <w:proofErr w:type="gramEnd"/>
            <w:r w:rsidRPr="00D84B2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respondents who selected self-defined condition changes</w:t>
            </w:r>
          </w:p>
        </w:tc>
      </w:tr>
    </w:tbl>
    <w:p w14:paraId="2DCD1D87" w14:textId="30F28635" w:rsidR="000E219C" w:rsidRDefault="000E219C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631361A3" w14:textId="7EFA3F59" w:rsidR="000E219C" w:rsidRDefault="000E219C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615D42C0" w14:textId="51D69EAF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31927EBC" w14:textId="5C14BFFF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23168157" w14:textId="316CA911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309ECF70" w14:textId="5788C27E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349A4E91" w14:textId="1EC4CEA5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7F384BBB" w14:textId="2DBE4330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772464D2" w14:textId="4A3CCB11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194731E8" w14:textId="5B5245E1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7E4FB634" w14:textId="530DF78E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59DED66E" w14:textId="54D51D9D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0EDE0035" w14:textId="75BAA181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13D2D12B" w14:textId="19AF297A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6FD6F267" w14:textId="241E4564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3858DD6D" w14:textId="44337F1B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06A006DA" w14:textId="44339D15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0B1DF7D6" w14:textId="17B991FB" w:rsidR="001A300D" w:rsidRDefault="001A300D" w:rsidP="003162F3">
      <w:pPr>
        <w:spacing w:after="0" w:line="240" w:lineRule="auto"/>
        <w:rPr>
          <w:rFonts w:cstheme="minorHAnsi"/>
          <w:b/>
          <w:sz w:val="28"/>
          <w:szCs w:val="32"/>
        </w:rPr>
      </w:pPr>
    </w:p>
    <w:p w14:paraId="1D0D9383" w14:textId="77777777" w:rsidR="009B6F60" w:rsidRPr="009B6F60" w:rsidRDefault="009B6F60" w:rsidP="0061758E">
      <w:pPr>
        <w:spacing w:after="0" w:line="240" w:lineRule="auto"/>
        <w:rPr>
          <w:b/>
          <w:sz w:val="16"/>
          <w:szCs w:val="16"/>
        </w:rPr>
      </w:pPr>
    </w:p>
    <w:p w14:paraId="604F5D0A" w14:textId="77777777" w:rsidR="00F92FAF" w:rsidRDefault="00F92FAF" w:rsidP="0061758E">
      <w:pPr>
        <w:spacing w:after="0" w:line="240" w:lineRule="auto"/>
        <w:rPr>
          <w:b/>
          <w:sz w:val="28"/>
        </w:rPr>
      </w:pPr>
    </w:p>
    <w:p w14:paraId="2B6737E7" w14:textId="77777777" w:rsidR="00F92FAF" w:rsidRDefault="00F92FAF" w:rsidP="0061758E">
      <w:pPr>
        <w:spacing w:after="0" w:line="240" w:lineRule="auto"/>
        <w:rPr>
          <w:b/>
          <w:sz w:val="28"/>
        </w:rPr>
      </w:pPr>
    </w:p>
    <w:p w14:paraId="5C7AE9C9" w14:textId="3CD04FAD" w:rsidR="002C345C" w:rsidRPr="00AA37EA" w:rsidRDefault="00AA37EA" w:rsidP="0061758E">
      <w:pPr>
        <w:spacing w:after="0" w:line="240" w:lineRule="auto"/>
        <w:rPr>
          <w:b/>
          <w:sz w:val="24"/>
          <w:szCs w:val="24"/>
        </w:rPr>
      </w:pPr>
      <w:r w:rsidRPr="00AA37EA">
        <w:rPr>
          <w:b/>
          <w:sz w:val="24"/>
          <w:szCs w:val="24"/>
        </w:rPr>
        <w:t xml:space="preserve">Table 4: </w:t>
      </w:r>
      <w:r w:rsidR="002C345C" w:rsidRPr="00AA37EA">
        <w:rPr>
          <w:b/>
          <w:sz w:val="24"/>
          <w:szCs w:val="24"/>
        </w:rPr>
        <w:t xml:space="preserve">Statewide Program Affiliations &amp; </w:t>
      </w:r>
      <w:r w:rsidR="00260953" w:rsidRPr="00AA37EA">
        <w:rPr>
          <w:b/>
          <w:sz w:val="24"/>
          <w:szCs w:val="24"/>
        </w:rPr>
        <w:t>Response Rate</w:t>
      </w:r>
    </w:p>
    <w:p w14:paraId="09D94C62" w14:textId="77777777" w:rsidR="003C1C0D" w:rsidRPr="003C1C0D" w:rsidRDefault="003C1C0D" w:rsidP="0061758E">
      <w:pPr>
        <w:spacing w:after="0" w:line="240" w:lineRule="auto"/>
        <w:rPr>
          <w:b/>
          <w:sz w:val="20"/>
          <w:szCs w:val="20"/>
        </w:rPr>
      </w:pPr>
    </w:p>
    <w:p w14:paraId="477B4AF4" w14:textId="2C392DBF" w:rsidR="002C345C" w:rsidRDefault="00195528" w:rsidP="0061758E">
      <w:pPr>
        <w:spacing w:after="0" w:line="240" w:lineRule="auto"/>
      </w:pPr>
      <w:r>
        <w:t xml:space="preserve">Of </w:t>
      </w:r>
      <w:r w:rsidR="001D56CA">
        <w:t>95</w:t>
      </w:r>
      <w:r w:rsidR="002C345C">
        <w:t xml:space="preserve"> total respondents, their affiliations are listed in the table below. </w:t>
      </w:r>
      <w:r w:rsidR="004361FB">
        <w:t xml:space="preserve">Some Community Educators (both respondents and total CES) are affiliated with more than one statewide program. </w:t>
      </w:r>
      <w:r w:rsidR="007C5292">
        <w:t xml:space="preserve">Respondents’ </w:t>
      </w:r>
      <w:r w:rsidR="00EB7143">
        <w:t xml:space="preserve">statewide </w:t>
      </w:r>
      <w:r w:rsidR="007C5292">
        <w:t xml:space="preserve">program affiliations are determined by Program Planning and Evaluation, in consultation with the directors/analysts of the specific programs. </w:t>
      </w:r>
    </w:p>
    <w:p w14:paraId="1B20F007" w14:textId="3943C13B" w:rsidR="007B7687" w:rsidRDefault="007B7687" w:rsidP="0061758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530"/>
        <w:gridCol w:w="1440"/>
        <w:gridCol w:w="1530"/>
        <w:gridCol w:w="1440"/>
      </w:tblGrid>
      <w:tr w:rsidR="00464B95" w:rsidRPr="00626FED" w14:paraId="04212992" w14:textId="3ACD716A" w:rsidTr="00F92FAF">
        <w:trPr>
          <w:trHeight w:val="300"/>
        </w:trPr>
        <w:tc>
          <w:tcPr>
            <w:tcW w:w="4765" w:type="dxa"/>
            <w:shd w:val="clear" w:color="auto" w:fill="D9D9D9" w:themeFill="background1" w:themeFillShade="D9"/>
            <w:noWrap/>
            <w:vAlign w:val="center"/>
            <w:hideMark/>
          </w:tcPr>
          <w:p w14:paraId="3663DF9A" w14:textId="6A737719" w:rsidR="00464B95" w:rsidRPr="009E4690" w:rsidRDefault="003736D5" w:rsidP="0061758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D4AC64B" w14:textId="41D06A1F" w:rsidR="00464B95" w:rsidRPr="009E4690" w:rsidRDefault="002C345C" w:rsidP="006175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469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# </w:t>
            </w:r>
            <w:proofErr w:type="gramStart"/>
            <w:r w:rsidRPr="009E4690">
              <w:rPr>
                <w:rFonts w:ascii="Calibri" w:eastAsia="Times New Roman" w:hAnsi="Calibri" w:cs="Calibri"/>
                <w:b/>
                <w:bCs/>
                <w:color w:val="000000"/>
              </w:rPr>
              <w:t>of</w:t>
            </w:r>
            <w:proofErr w:type="gramEnd"/>
            <w:r w:rsidRPr="009E469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Respondents who affiliated w/SWP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  <w:hideMark/>
          </w:tcPr>
          <w:p w14:paraId="3085F4FB" w14:textId="1B850AF4" w:rsidR="00464B95" w:rsidRPr="00626FED" w:rsidRDefault="008A4039" w:rsidP="006175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 </w:t>
            </w:r>
            <w:proofErr w:type="gramStart"/>
            <w:r w:rsidR="00492955">
              <w:rPr>
                <w:rFonts w:ascii="Calibri" w:eastAsia="Times New Roman" w:hAnsi="Calibri" w:cs="Calibri"/>
                <w:b/>
                <w:bCs/>
                <w:color w:val="000000"/>
              </w:rPr>
              <w:t>of</w:t>
            </w:r>
            <w:proofErr w:type="gramEnd"/>
            <w:r w:rsidR="004929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Responses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AE2B714" w14:textId="06AC778E" w:rsidR="00464B95" w:rsidRDefault="00464B95" w:rsidP="006175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  <w:r w:rsidR="002C34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="002C345C">
              <w:rPr>
                <w:rFonts w:ascii="Calibri" w:eastAsia="Times New Roman" w:hAnsi="Calibri" w:cs="Calibri"/>
                <w:b/>
                <w:bCs/>
                <w:color w:val="000000"/>
              </w:rPr>
              <w:t>of</w:t>
            </w:r>
            <w:proofErr w:type="gramEnd"/>
            <w:r w:rsidR="002C34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 CES in SWP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84CD9D" w14:textId="401F9DEE" w:rsidR="00464B95" w:rsidRDefault="002C345C" w:rsidP="006175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Response Rate by SWP</w:t>
            </w:r>
          </w:p>
        </w:tc>
      </w:tr>
      <w:tr w:rsidR="008C328B" w:rsidRPr="00626FED" w14:paraId="700B4BE9" w14:textId="77777777" w:rsidTr="00BB29DF">
        <w:trPr>
          <w:trHeight w:val="300"/>
        </w:trPr>
        <w:tc>
          <w:tcPr>
            <w:tcW w:w="4765" w:type="dxa"/>
            <w:shd w:val="clear" w:color="auto" w:fill="auto"/>
            <w:noWrap/>
          </w:tcPr>
          <w:p w14:paraId="43260D96" w14:textId="42FC84FB" w:rsidR="008C328B" w:rsidRPr="009E4690" w:rsidRDefault="008C328B" w:rsidP="008C328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2BE3">
              <w:rPr>
                <w:rFonts w:ascii="Calibri" w:eastAsia="Times New Roman" w:hAnsi="Calibri" w:cs="Calibri"/>
                <w:color w:val="000000"/>
              </w:rPr>
              <w:t xml:space="preserve">CalFresh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Healthy Living, UC 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5E41128" w14:textId="447152E9" w:rsidR="008C328B" w:rsidRPr="009E4690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972E0F5" w14:textId="29B87E54" w:rsidR="008C328B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35.1%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72CDE0A" w14:textId="316083AC" w:rsidR="008C328B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F4EE09A" w14:textId="76B858D0" w:rsidR="008C328B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38.6%</w:t>
            </w:r>
          </w:p>
        </w:tc>
      </w:tr>
      <w:tr w:rsidR="008C328B" w:rsidRPr="00626FED" w14:paraId="7BF47D10" w14:textId="77777777" w:rsidTr="00BB29DF">
        <w:trPr>
          <w:trHeight w:val="300"/>
        </w:trPr>
        <w:tc>
          <w:tcPr>
            <w:tcW w:w="4765" w:type="dxa"/>
            <w:shd w:val="clear" w:color="auto" w:fill="auto"/>
            <w:noWrap/>
          </w:tcPr>
          <w:p w14:paraId="0AC5DED7" w14:textId="6B447365" w:rsidR="008C328B" w:rsidRPr="009E4690" w:rsidRDefault="008C328B" w:rsidP="008C328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B22BE3">
              <w:rPr>
                <w:rFonts w:ascii="Calibri" w:eastAsia="Times New Roman" w:hAnsi="Calibri" w:cs="Calibri"/>
                <w:color w:val="000000"/>
              </w:rPr>
              <w:t>alifornia 4-H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Youth Development Program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402824B" w14:textId="7E55DE81" w:rsidR="008C328B" w:rsidRPr="009E4690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F4D6D2F" w14:textId="79843B17" w:rsidR="008C328B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11.3%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8627A2A" w14:textId="6EC218C2" w:rsidR="008C328B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4F59226" w14:textId="6257E59C" w:rsidR="008C328B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25.6%</w:t>
            </w:r>
          </w:p>
        </w:tc>
      </w:tr>
      <w:tr w:rsidR="008C328B" w:rsidRPr="00B22BE3" w14:paraId="41E7F7B7" w14:textId="77777777" w:rsidTr="00BB29DF">
        <w:trPr>
          <w:trHeight w:val="300"/>
        </w:trPr>
        <w:tc>
          <w:tcPr>
            <w:tcW w:w="4765" w:type="dxa"/>
            <w:noWrap/>
          </w:tcPr>
          <w:p w14:paraId="174DF6BF" w14:textId="6F2BE7A4" w:rsidR="008C328B" w:rsidRPr="00B22BE3" w:rsidRDefault="008C328B" w:rsidP="008C3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B22BE3">
              <w:rPr>
                <w:rFonts w:ascii="Calibri" w:eastAsia="Times New Roman" w:hAnsi="Calibri" w:cs="Calibri"/>
                <w:color w:val="000000"/>
              </w:rPr>
              <w:t>alifornia Expanded Food &amp; Nutrition Education Program</w:t>
            </w:r>
          </w:p>
        </w:tc>
        <w:tc>
          <w:tcPr>
            <w:tcW w:w="1530" w:type="dxa"/>
            <w:noWrap/>
            <w:vAlign w:val="bottom"/>
          </w:tcPr>
          <w:p w14:paraId="24FFABEB" w14:textId="4EF36702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14:paraId="7F73287D" w14:textId="6F65EECC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13.4%</w:t>
            </w:r>
          </w:p>
        </w:tc>
        <w:tc>
          <w:tcPr>
            <w:tcW w:w="1530" w:type="dxa"/>
            <w:noWrap/>
            <w:vAlign w:val="bottom"/>
          </w:tcPr>
          <w:p w14:paraId="7FE5469B" w14:textId="394E6E4B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40" w:type="dxa"/>
            <w:noWrap/>
            <w:vAlign w:val="bottom"/>
          </w:tcPr>
          <w:p w14:paraId="19D2AA9D" w14:textId="7CD7043D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46.4%</w:t>
            </w:r>
          </w:p>
        </w:tc>
      </w:tr>
      <w:tr w:rsidR="008C328B" w:rsidRPr="00B22BE3" w14:paraId="2EEB698C" w14:textId="77777777" w:rsidTr="00BB29DF">
        <w:trPr>
          <w:trHeight w:val="300"/>
        </w:trPr>
        <w:tc>
          <w:tcPr>
            <w:tcW w:w="4765" w:type="dxa"/>
            <w:noWrap/>
          </w:tcPr>
          <w:p w14:paraId="65E8B60B" w14:textId="342A8950" w:rsidR="008C328B" w:rsidRPr="00B22BE3" w:rsidRDefault="008C328B" w:rsidP="008C3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B22BE3">
              <w:rPr>
                <w:rFonts w:ascii="Calibri" w:eastAsia="Times New Roman" w:hAnsi="Calibri" w:cs="Calibri"/>
                <w:color w:val="000000"/>
              </w:rPr>
              <w:t>alifornia Naturalist</w:t>
            </w:r>
          </w:p>
        </w:tc>
        <w:tc>
          <w:tcPr>
            <w:tcW w:w="1530" w:type="dxa"/>
            <w:noWrap/>
            <w:vAlign w:val="bottom"/>
          </w:tcPr>
          <w:p w14:paraId="2B9CA8A0" w14:textId="7BCDC7BC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14:paraId="33FDD9CB" w14:textId="30A8C959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3.1%</w:t>
            </w:r>
          </w:p>
        </w:tc>
        <w:tc>
          <w:tcPr>
            <w:tcW w:w="1530" w:type="dxa"/>
            <w:noWrap/>
            <w:vAlign w:val="bottom"/>
          </w:tcPr>
          <w:p w14:paraId="2C990827" w14:textId="1B4BF112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14:paraId="05DA9DFB" w14:textId="06B8993E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</w:tr>
      <w:tr w:rsidR="008C328B" w:rsidRPr="00B22BE3" w14:paraId="6936908F" w14:textId="77777777" w:rsidTr="00BB29DF">
        <w:trPr>
          <w:trHeight w:val="300"/>
        </w:trPr>
        <w:tc>
          <w:tcPr>
            <w:tcW w:w="4765" w:type="dxa"/>
            <w:noWrap/>
          </w:tcPr>
          <w:p w14:paraId="7F2318D6" w14:textId="141A1687" w:rsidR="008C328B" w:rsidRPr="00B22BE3" w:rsidRDefault="008C328B" w:rsidP="008C328B">
            <w:pPr>
              <w:rPr>
                <w:rFonts w:ascii="Calibri" w:eastAsia="Times New Roman" w:hAnsi="Calibri" w:cs="Calibri"/>
                <w:color w:val="000000"/>
              </w:rPr>
            </w:pPr>
            <w:r w:rsidRPr="00B22BE3">
              <w:rPr>
                <w:rFonts w:ascii="Calibri" w:eastAsia="Times New Roman" w:hAnsi="Calibri" w:cs="Calibri"/>
                <w:color w:val="000000"/>
              </w:rPr>
              <w:t>Climate Smart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Agriculture </w:t>
            </w:r>
          </w:p>
        </w:tc>
        <w:tc>
          <w:tcPr>
            <w:tcW w:w="1530" w:type="dxa"/>
            <w:noWrap/>
            <w:vAlign w:val="bottom"/>
          </w:tcPr>
          <w:p w14:paraId="007CCD9F" w14:textId="6C0ADF86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14:paraId="4EE8F440" w14:textId="19855FCD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3.1%</w:t>
            </w:r>
          </w:p>
        </w:tc>
        <w:tc>
          <w:tcPr>
            <w:tcW w:w="1530" w:type="dxa"/>
            <w:noWrap/>
            <w:vAlign w:val="bottom"/>
          </w:tcPr>
          <w:p w14:paraId="59EF0A86" w14:textId="5100CBED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0" w:type="dxa"/>
            <w:noWrap/>
            <w:vAlign w:val="bottom"/>
          </w:tcPr>
          <w:p w14:paraId="4273A2BA" w14:textId="5064D9F5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37.5%</w:t>
            </w:r>
          </w:p>
        </w:tc>
      </w:tr>
      <w:tr w:rsidR="008C328B" w:rsidRPr="00B22BE3" w14:paraId="6AD0675B" w14:textId="77777777" w:rsidTr="00BB29DF">
        <w:trPr>
          <w:trHeight w:val="300"/>
        </w:trPr>
        <w:tc>
          <w:tcPr>
            <w:tcW w:w="4765" w:type="dxa"/>
            <w:noWrap/>
            <w:hideMark/>
          </w:tcPr>
          <w:p w14:paraId="7B170789" w14:textId="49C7EF05" w:rsidR="008C328B" w:rsidRPr="00B22BE3" w:rsidRDefault="008C328B" w:rsidP="008C328B">
            <w:pPr>
              <w:rPr>
                <w:rFonts w:ascii="Calibri" w:eastAsia="Times New Roman" w:hAnsi="Calibri" w:cs="Calibri"/>
                <w:color w:val="000000"/>
              </w:rPr>
            </w:pPr>
            <w:r w:rsidRPr="00B22BE3">
              <w:rPr>
                <w:rFonts w:ascii="Calibri" w:eastAsia="Times New Roman" w:hAnsi="Calibri" w:cs="Calibri"/>
                <w:color w:val="000000"/>
              </w:rPr>
              <w:t>Research and Extension Center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System</w:t>
            </w:r>
            <w:r w:rsidRPr="00B22BE3">
              <w:rPr>
                <w:rFonts w:ascii="Calibri" w:eastAsia="Times New Roman" w:hAnsi="Calibri" w:cs="Calibri"/>
                <w:color w:val="000000"/>
              </w:rPr>
              <w:t>, Other</w:t>
            </w:r>
          </w:p>
        </w:tc>
        <w:tc>
          <w:tcPr>
            <w:tcW w:w="1530" w:type="dxa"/>
            <w:noWrap/>
            <w:vAlign w:val="bottom"/>
            <w:hideMark/>
          </w:tcPr>
          <w:p w14:paraId="3D890DBA" w14:textId="55A67676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0" w:type="dxa"/>
            <w:noWrap/>
            <w:vAlign w:val="bottom"/>
            <w:hideMark/>
          </w:tcPr>
          <w:p w14:paraId="4DE07542" w14:textId="2F595BBC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14.4%</w:t>
            </w:r>
          </w:p>
        </w:tc>
        <w:tc>
          <w:tcPr>
            <w:tcW w:w="1530" w:type="dxa"/>
            <w:noWrap/>
            <w:vAlign w:val="bottom"/>
            <w:hideMark/>
          </w:tcPr>
          <w:p w14:paraId="36FF32E7" w14:textId="166EDCD8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40" w:type="dxa"/>
            <w:noWrap/>
            <w:vAlign w:val="bottom"/>
            <w:hideMark/>
          </w:tcPr>
          <w:p w14:paraId="77509E28" w14:textId="4505B927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38.9%</w:t>
            </w:r>
          </w:p>
        </w:tc>
      </w:tr>
      <w:tr w:rsidR="008C328B" w:rsidRPr="00B22BE3" w14:paraId="598214F9" w14:textId="77777777" w:rsidTr="00BB29DF">
        <w:trPr>
          <w:trHeight w:val="300"/>
        </w:trPr>
        <w:tc>
          <w:tcPr>
            <w:tcW w:w="4765" w:type="dxa"/>
            <w:noWrap/>
          </w:tcPr>
          <w:p w14:paraId="5819ED97" w14:textId="0AC888CC" w:rsidR="008C328B" w:rsidRPr="00B22BE3" w:rsidRDefault="008C328B" w:rsidP="008C328B">
            <w:pPr>
              <w:rPr>
                <w:rFonts w:ascii="Calibri" w:eastAsia="Times New Roman" w:hAnsi="Calibri" w:cs="Calibri"/>
                <w:color w:val="000000"/>
              </w:rPr>
            </w:pPr>
            <w:r w:rsidRPr="00B22BE3">
              <w:rPr>
                <w:rFonts w:ascii="Calibri" w:eastAsia="Times New Roman" w:hAnsi="Calibri" w:cs="Calibri"/>
                <w:color w:val="000000"/>
              </w:rPr>
              <w:t>Small Farms</w:t>
            </w:r>
          </w:p>
        </w:tc>
        <w:tc>
          <w:tcPr>
            <w:tcW w:w="1530" w:type="dxa"/>
            <w:noWrap/>
            <w:vAlign w:val="bottom"/>
          </w:tcPr>
          <w:p w14:paraId="75BCAA78" w14:textId="2C1469D8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0" w:type="dxa"/>
            <w:noWrap/>
            <w:vAlign w:val="bottom"/>
          </w:tcPr>
          <w:p w14:paraId="61E4BE05" w14:textId="3419C01E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2.1%</w:t>
            </w:r>
          </w:p>
        </w:tc>
        <w:tc>
          <w:tcPr>
            <w:tcW w:w="1530" w:type="dxa"/>
            <w:noWrap/>
            <w:vAlign w:val="bottom"/>
          </w:tcPr>
          <w:p w14:paraId="1F5AAC8C" w14:textId="2A170F08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14:paraId="749A2B75" w14:textId="43098FCF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</w:tr>
      <w:tr w:rsidR="008C328B" w:rsidRPr="00B22BE3" w14:paraId="100CC7F7" w14:textId="77777777" w:rsidTr="00BB29DF">
        <w:trPr>
          <w:trHeight w:val="300"/>
        </w:trPr>
        <w:tc>
          <w:tcPr>
            <w:tcW w:w="4765" w:type="dxa"/>
            <w:noWrap/>
            <w:hideMark/>
          </w:tcPr>
          <w:p w14:paraId="61242BA1" w14:textId="0E568E86" w:rsidR="008C328B" w:rsidRPr="00B22BE3" w:rsidRDefault="008C328B" w:rsidP="008C328B">
            <w:pPr>
              <w:rPr>
                <w:rFonts w:ascii="Calibri" w:eastAsia="Times New Roman" w:hAnsi="Calibri" w:cs="Calibri"/>
                <w:color w:val="000000"/>
              </w:rPr>
            </w:pPr>
            <w:r w:rsidRPr="00B22BE3">
              <w:rPr>
                <w:rFonts w:ascii="Calibri" w:eastAsia="Times New Roman" w:hAnsi="Calibri" w:cs="Calibri"/>
                <w:color w:val="000000"/>
              </w:rPr>
              <w:t>UC Master Gardener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Program</w:t>
            </w:r>
          </w:p>
        </w:tc>
        <w:tc>
          <w:tcPr>
            <w:tcW w:w="1530" w:type="dxa"/>
            <w:noWrap/>
            <w:vAlign w:val="bottom"/>
            <w:hideMark/>
          </w:tcPr>
          <w:p w14:paraId="43AAB8B9" w14:textId="5CF934A7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0" w:type="dxa"/>
            <w:noWrap/>
            <w:vAlign w:val="bottom"/>
            <w:hideMark/>
          </w:tcPr>
          <w:p w14:paraId="077D6701" w14:textId="5E6FBE0D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11.3%</w:t>
            </w:r>
          </w:p>
        </w:tc>
        <w:tc>
          <w:tcPr>
            <w:tcW w:w="1530" w:type="dxa"/>
            <w:noWrap/>
            <w:vAlign w:val="bottom"/>
            <w:hideMark/>
          </w:tcPr>
          <w:p w14:paraId="70E54403" w14:textId="0C64869B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40" w:type="dxa"/>
            <w:noWrap/>
            <w:vAlign w:val="bottom"/>
            <w:hideMark/>
          </w:tcPr>
          <w:p w14:paraId="266F1F34" w14:textId="360DD90A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35.5%</w:t>
            </w:r>
          </w:p>
        </w:tc>
      </w:tr>
      <w:tr w:rsidR="008C328B" w:rsidRPr="00B22BE3" w14:paraId="2BF859E4" w14:textId="77777777" w:rsidTr="00BB29DF">
        <w:trPr>
          <w:trHeight w:val="300"/>
        </w:trPr>
        <w:tc>
          <w:tcPr>
            <w:tcW w:w="4765" w:type="dxa"/>
            <w:noWrap/>
            <w:hideMark/>
          </w:tcPr>
          <w:p w14:paraId="250B7D5A" w14:textId="0BC691A4" w:rsidR="008C328B" w:rsidRPr="00B22BE3" w:rsidRDefault="008C328B" w:rsidP="008C328B">
            <w:pPr>
              <w:rPr>
                <w:rFonts w:ascii="Calibri" w:eastAsia="Times New Roman" w:hAnsi="Calibri" w:cs="Calibri"/>
                <w:color w:val="000000"/>
              </w:rPr>
            </w:pPr>
            <w:r w:rsidRPr="00B22BE3">
              <w:rPr>
                <w:rFonts w:ascii="Calibri" w:eastAsia="Times New Roman" w:hAnsi="Calibri" w:cs="Calibri"/>
                <w:color w:val="000000"/>
              </w:rPr>
              <w:t>UC Master Food Preserver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Program</w:t>
            </w:r>
          </w:p>
        </w:tc>
        <w:tc>
          <w:tcPr>
            <w:tcW w:w="1530" w:type="dxa"/>
            <w:noWrap/>
            <w:vAlign w:val="bottom"/>
            <w:hideMark/>
          </w:tcPr>
          <w:p w14:paraId="44D4AEC0" w14:textId="21DEE6C9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0" w:type="dxa"/>
            <w:noWrap/>
            <w:vAlign w:val="bottom"/>
            <w:hideMark/>
          </w:tcPr>
          <w:p w14:paraId="2E40D969" w14:textId="1A42906D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3.1%</w:t>
            </w:r>
          </w:p>
        </w:tc>
        <w:tc>
          <w:tcPr>
            <w:tcW w:w="1530" w:type="dxa"/>
            <w:noWrap/>
            <w:vAlign w:val="bottom"/>
            <w:hideMark/>
          </w:tcPr>
          <w:p w14:paraId="08E16CEF" w14:textId="7A1156B4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0" w:type="dxa"/>
            <w:noWrap/>
            <w:vAlign w:val="bottom"/>
            <w:hideMark/>
          </w:tcPr>
          <w:p w14:paraId="4B1CD3DB" w14:textId="35F8D11F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30.0%</w:t>
            </w:r>
          </w:p>
        </w:tc>
      </w:tr>
      <w:tr w:rsidR="008C328B" w:rsidRPr="00B22BE3" w14:paraId="686B53DA" w14:textId="77777777" w:rsidTr="00BB29DF">
        <w:trPr>
          <w:trHeight w:val="300"/>
        </w:trPr>
        <w:tc>
          <w:tcPr>
            <w:tcW w:w="4765" w:type="dxa"/>
            <w:noWrap/>
            <w:hideMark/>
          </w:tcPr>
          <w:p w14:paraId="719D57CB" w14:textId="39F87BD4" w:rsidR="008C328B" w:rsidRPr="00B22BE3" w:rsidRDefault="008C328B" w:rsidP="008C328B">
            <w:pPr>
              <w:rPr>
                <w:rFonts w:ascii="Calibri" w:eastAsia="Times New Roman" w:hAnsi="Calibri" w:cs="Calibri"/>
                <w:color w:val="000000"/>
              </w:rPr>
            </w:pPr>
            <w:r w:rsidRPr="00B22BE3">
              <w:rPr>
                <w:rFonts w:ascii="Calibri" w:eastAsia="Times New Roman" w:hAnsi="Calibri" w:cs="Calibri"/>
                <w:color w:val="000000"/>
              </w:rPr>
              <w:t>UC Integrated Pest Management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Program </w:t>
            </w:r>
          </w:p>
        </w:tc>
        <w:tc>
          <w:tcPr>
            <w:tcW w:w="1530" w:type="dxa"/>
            <w:noWrap/>
            <w:vAlign w:val="bottom"/>
            <w:hideMark/>
          </w:tcPr>
          <w:p w14:paraId="3C3DEA07" w14:textId="09D25FED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0" w:type="dxa"/>
            <w:noWrap/>
            <w:vAlign w:val="bottom"/>
            <w:hideMark/>
          </w:tcPr>
          <w:p w14:paraId="2E47DBF2" w14:textId="08F5A40A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3.1%</w:t>
            </w:r>
          </w:p>
        </w:tc>
        <w:tc>
          <w:tcPr>
            <w:tcW w:w="1530" w:type="dxa"/>
            <w:noWrap/>
            <w:vAlign w:val="bottom"/>
            <w:hideMark/>
          </w:tcPr>
          <w:p w14:paraId="15CD9EBF" w14:textId="48224156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0" w:type="dxa"/>
            <w:noWrap/>
            <w:vAlign w:val="bottom"/>
            <w:hideMark/>
          </w:tcPr>
          <w:p w14:paraId="0C4FB1F9" w14:textId="335C3227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75.0%</w:t>
            </w:r>
          </w:p>
        </w:tc>
      </w:tr>
      <w:tr w:rsidR="008C328B" w:rsidRPr="00B22BE3" w14:paraId="472B34B8" w14:textId="77777777" w:rsidTr="00CF2123">
        <w:trPr>
          <w:trHeight w:val="300"/>
        </w:trPr>
        <w:tc>
          <w:tcPr>
            <w:tcW w:w="4765" w:type="dxa"/>
            <w:noWrap/>
            <w:hideMark/>
          </w:tcPr>
          <w:p w14:paraId="050AC53B" w14:textId="77777777" w:rsidR="008C328B" w:rsidRPr="00B22BE3" w:rsidRDefault="008C328B" w:rsidP="008C328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2BE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530" w:type="dxa"/>
            <w:noWrap/>
            <w:vAlign w:val="bottom"/>
            <w:hideMark/>
          </w:tcPr>
          <w:p w14:paraId="093D20EF" w14:textId="682F7A4E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1440" w:type="dxa"/>
            <w:noWrap/>
            <w:vAlign w:val="bottom"/>
            <w:hideMark/>
          </w:tcPr>
          <w:p w14:paraId="092522A8" w14:textId="78FD6E91" w:rsidR="008C328B" w:rsidRPr="00B22BE3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30" w:type="dxa"/>
            <w:noWrap/>
            <w:vAlign w:val="bottom"/>
            <w:hideMark/>
          </w:tcPr>
          <w:p w14:paraId="70AF327D" w14:textId="488B512E" w:rsidR="008C328B" w:rsidRPr="00CF2123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30CCBD" w14:textId="77777777" w:rsidR="008C328B" w:rsidRPr="00CF2123" w:rsidRDefault="008C328B" w:rsidP="008C32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773A2AF9" w14:textId="7DEE7399" w:rsidR="00B22BE3" w:rsidRDefault="00B22BE3" w:rsidP="0061758E">
      <w:pPr>
        <w:spacing w:after="0" w:line="240" w:lineRule="auto"/>
        <w:rPr>
          <w:b/>
          <w:sz w:val="28"/>
        </w:rPr>
      </w:pPr>
    </w:p>
    <w:p w14:paraId="7634F371" w14:textId="1B844187" w:rsidR="00F92FAF" w:rsidRDefault="00F92FAF">
      <w:pPr>
        <w:rPr>
          <w:b/>
          <w:sz w:val="28"/>
        </w:rPr>
      </w:pPr>
      <w:r>
        <w:rPr>
          <w:b/>
          <w:sz w:val="28"/>
        </w:rPr>
        <w:br w:type="page"/>
      </w:r>
    </w:p>
    <w:p w14:paraId="3575EA58" w14:textId="77777777" w:rsidR="000C03F5" w:rsidRDefault="000C03F5" w:rsidP="0061758E">
      <w:pPr>
        <w:spacing w:after="0" w:line="240" w:lineRule="auto"/>
        <w:rPr>
          <w:b/>
          <w:sz w:val="28"/>
        </w:rPr>
      </w:pPr>
    </w:p>
    <w:p w14:paraId="2C454AFA" w14:textId="79EDDE4B" w:rsidR="00260953" w:rsidRDefault="00260953" w:rsidP="0061758E">
      <w:pPr>
        <w:spacing w:after="0" w:line="240" w:lineRule="auto"/>
      </w:pPr>
      <w:r>
        <w:rPr>
          <w:b/>
          <w:sz w:val="28"/>
        </w:rPr>
        <w:t xml:space="preserve">Condition Change by Statewide Program: </w:t>
      </w:r>
      <w:r w:rsidRPr="00260953">
        <w:t>In the following tables, please note that any CES with sp</w:t>
      </w:r>
      <w:r w:rsidR="00B2774F">
        <w:t>lit appointments and/or who work</w:t>
      </w:r>
      <w:r w:rsidRPr="00260953">
        <w:t xml:space="preserve"> collaboratively with other statewide programs are tallied for each statewide program they are working with, i.e., they are tallied more than once.</w:t>
      </w:r>
    </w:p>
    <w:p w14:paraId="20F3F05B" w14:textId="0267BAED" w:rsidR="00941A85" w:rsidRDefault="00941A85" w:rsidP="0061758E">
      <w:pPr>
        <w:spacing w:after="0" w:line="240" w:lineRule="auto"/>
      </w:pPr>
    </w:p>
    <w:p w14:paraId="6B6DF6FA" w14:textId="77777777" w:rsidR="000C03F5" w:rsidRDefault="000C03F5" w:rsidP="00F92FAF">
      <w:pPr>
        <w:rPr>
          <w:b/>
          <w:sz w:val="28"/>
        </w:rPr>
      </w:pPr>
    </w:p>
    <w:p w14:paraId="0F27A780" w14:textId="07ABF8A1" w:rsidR="00F92FAF" w:rsidRDefault="00F92FAF" w:rsidP="00F92FAF">
      <w:pPr>
        <w:rPr>
          <w:b/>
          <w:sz w:val="28"/>
        </w:rPr>
      </w:pPr>
      <w:r w:rsidRPr="0030287B">
        <w:rPr>
          <w:b/>
          <w:sz w:val="28"/>
        </w:rPr>
        <w:t>CalFresh</w:t>
      </w:r>
      <w:r>
        <w:rPr>
          <w:b/>
          <w:sz w:val="28"/>
        </w:rPr>
        <w:t>, Healthy Living, UC</w:t>
      </w:r>
      <w:r w:rsidRPr="0030287B">
        <w:rPr>
          <w:b/>
          <w:sz w:val="28"/>
        </w:rPr>
        <w:t xml:space="preserve"> </w:t>
      </w:r>
    </w:p>
    <w:tbl>
      <w:tblPr>
        <w:tblW w:w="10720" w:type="dxa"/>
        <w:tblLook w:val="04A0" w:firstRow="1" w:lastRow="0" w:firstColumn="1" w:lastColumn="0" w:noHBand="0" w:noVBand="1"/>
      </w:tblPr>
      <w:tblGrid>
        <w:gridCol w:w="8460"/>
        <w:gridCol w:w="960"/>
        <w:gridCol w:w="1300"/>
      </w:tblGrid>
      <w:tr w:rsidR="00F92FAF" w:rsidRPr="001C2D4F" w14:paraId="19ECB6F5" w14:textId="77777777" w:rsidTr="001B35E3">
        <w:trPr>
          <w:trHeight w:val="3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518AF3" w14:textId="77777777" w:rsidR="00F92FAF" w:rsidRPr="001C2D4F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2D4F">
              <w:rPr>
                <w:rFonts w:ascii="Calibri" w:eastAsia="Times New Roman" w:hAnsi="Calibri" w:cs="Calibri"/>
                <w:b/>
                <w:bCs/>
                <w:color w:val="000000"/>
              </w:rPr>
              <w:t>Condition 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4C87FB" w14:textId="77777777" w:rsidR="00F92FAF" w:rsidRPr="001C2D4F" w:rsidRDefault="00F92FAF" w:rsidP="001B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2D4F">
              <w:rPr>
                <w:rFonts w:ascii="Calibri" w:eastAsia="Times New Roman" w:hAnsi="Calibri" w:cs="Calibri"/>
                <w:b/>
                <w:bCs/>
                <w:color w:val="000000"/>
              </w:rPr>
              <w:t>FTE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09A430" w14:textId="77777777" w:rsidR="00F92FAF" w:rsidRPr="001C2D4F" w:rsidRDefault="00F92FAF" w:rsidP="001B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2D4F">
              <w:rPr>
                <w:rFonts w:ascii="Calibri" w:eastAsia="Times New Roman" w:hAnsi="Calibri" w:cs="Calibri"/>
                <w:b/>
                <w:bCs/>
                <w:color w:val="000000"/>
              </w:rPr>
              <w:t>% Effort</w:t>
            </w:r>
          </w:p>
        </w:tc>
      </w:tr>
      <w:tr w:rsidR="00F92FAF" w:rsidRPr="001C2D4F" w14:paraId="64CE1177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8FAD" w14:textId="77777777" w:rsidR="00F92FAF" w:rsidRPr="001C2D4F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health for all [individual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9BF1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39F3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35.3%</w:t>
            </w:r>
          </w:p>
        </w:tc>
      </w:tr>
      <w:tr w:rsidR="00F92FAF" w:rsidRPr="001C2D4F" w14:paraId="38A92D30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FB8A" w14:textId="77777777" w:rsidR="00F92FAF" w:rsidRPr="001C2D4F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community health and wellness [policy, systems, or environment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9E4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5B16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28.9%</w:t>
            </w:r>
          </w:p>
        </w:tc>
      </w:tr>
      <w:tr w:rsidR="00F92FAF" w:rsidRPr="001C2D4F" w14:paraId="4FC453F4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6E3E" w14:textId="77777777" w:rsidR="00F92FAF" w:rsidRPr="001C2D4F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security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1843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B714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15.7%</w:t>
            </w:r>
          </w:p>
        </w:tc>
      </w:tr>
      <w:tr w:rsidR="00F92FAF" w:rsidRPr="001C2D4F" w14:paraId="49122701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A1BD" w14:textId="77777777" w:rsidR="00F92FAF" w:rsidRPr="001C2D4F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safety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B14A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7B9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9.2%</w:t>
            </w:r>
          </w:p>
        </w:tc>
      </w:tr>
      <w:tr w:rsidR="00F92FAF" w:rsidRPr="001C2D4F" w14:paraId="1123A5D0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2030" w14:textId="77777777" w:rsidR="00F92FAF" w:rsidRPr="001C2D4F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individual and household financial stability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AE93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0EC6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6.9%</w:t>
            </w:r>
          </w:p>
        </w:tc>
      </w:tr>
      <w:tr w:rsidR="00F92FAF" w:rsidRPr="001C2D4F" w14:paraId="3D6378FA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D4E9" w14:textId="77777777" w:rsidR="00F92FAF" w:rsidRPr="001C2D4F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Self-defined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B8E6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99E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2.3%</w:t>
            </w:r>
          </w:p>
        </w:tc>
      </w:tr>
      <w:tr w:rsidR="00F92FAF" w:rsidRPr="001C2D4F" w14:paraId="03FB3C3B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DBD9" w14:textId="77777777" w:rsidR="00F92FAF" w:rsidRPr="001C2D4F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access to positive built and natural environments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E32F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4342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0.9%</w:t>
            </w:r>
          </w:p>
        </w:tc>
      </w:tr>
      <w:tr w:rsidR="00F92FAF" w:rsidRPr="001C2D4F" w14:paraId="221738A0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63A5" w14:textId="77777777" w:rsidR="00F92FAF" w:rsidRPr="001C2D4F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effective public leaders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456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203B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0.8%</w:t>
            </w:r>
          </w:p>
        </w:tc>
      </w:tr>
      <w:tr w:rsidR="00F92FAF" w:rsidRPr="001C2D4F" w14:paraId="2E1C0A73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06A6" w14:textId="77777777" w:rsidR="00F92FAF" w:rsidRPr="001C2D4F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F4CF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F42" w14:textId="77777777" w:rsidR="00F92FAF" w:rsidRPr="001C2D4F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3D480654" w14:textId="77777777" w:rsidR="00F92FAF" w:rsidRDefault="00F92FAF" w:rsidP="0061758E">
      <w:pPr>
        <w:spacing w:after="0" w:line="240" w:lineRule="auto"/>
        <w:rPr>
          <w:b/>
          <w:sz w:val="28"/>
        </w:rPr>
      </w:pPr>
    </w:p>
    <w:p w14:paraId="090FFAD0" w14:textId="77777777" w:rsidR="000C03F5" w:rsidRDefault="000C03F5" w:rsidP="0061758E">
      <w:pPr>
        <w:spacing w:after="0" w:line="240" w:lineRule="auto"/>
        <w:rPr>
          <w:b/>
          <w:sz w:val="28"/>
        </w:rPr>
      </w:pPr>
    </w:p>
    <w:p w14:paraId="67E70272" w14:textId="74A8C163" w:rsidR="00D157DF" w:rsidRDefault="00F92FAF" w:rsidP="0061758E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California </w:t>
      </w:r>
      <w:r w:rsidR="00D157DF" w:rsidRPr="00D157DF">
        <w:rPr>
          <w:b/>
          <w:sz w:val="28"/>
        </w:rPr>
        <w:t>4-H</w:t>
      </w:r>
      <w:r w:rsidR="00B57152">
        <w:rPr>
          <w:b/>
          <w:sz w:val="28"/>
        </w:rPr>
        <w:t xml:space="preserve"> </w:t>
      </w:r>
      <w:r w:rsidR="0081162C">
        <w:rPr>
          <w:b/>
          <w:sz w:val="28"/>
        </w:rPr>
        <w:t xml:space="preserve">Youth Development </w:t>
      </w:r>
      <w:r w:rsidR="00B57152">
        <w:rPr>
          <w:b/>
          <w:sz w:val="28"/>
        </w:rPr>
        <w:t>Program</w:t>
      </w:r>
    </w:p>
    <w:p w14:paraId="00D84414" w14:textId="77777777" w:rsidR="006D4351" w:rsidRPr="006D4351" w:rsidRDefault="006D4351" w:rsidP="0061758E">
      <w:pPr>
        <w:spacing w:after="0" w:line="240" w:lineRule="auto"/>
        <w:rPr>
          <w:b/>
          <w:sz w:val="8"/>
          <w:szCs w:val="8"/>
        </w:rPr>
      </w:pPr>
    </w:p>
    <w:p w14:paraId="1DD717DC" w14:textId="77777777" w:rsidR="0061758E" w:rsidRPr="009B6F60" w:rsidRDefault="0061758E" w:rsidP="0061758E">
      <w:pPr>
        <w:spacing w:after="0" w:line="240" w:lineRule="auto"/>
        <w:rPr>
          <w:b/>
          <w:sz w:val="8"/>
          <w:szCs w:val="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8480"/>
        <w:gridCol w:w="960"/>
        <w:gridCol w:w="1300"/>
      </w:tblGrid>
      <w:tr w:rsidR="00DA68BF" w:rsidRPr="00DA68BF" w14:paraId="65A3DFEC" w14:textId="77777777" w:rsidTr="00DA68BF">
        <w:trPr>
          <w:trHeight w:val="30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D9F79F" w14:textId="77777777" w:rsidR="00DA68BF" w:rsidRPr="00DA68BF" w:rsidRDefault="00DA68BF" w:rsidP="00DA6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68BF">
              <w:rPr>
                <w:rFonts w:ascii="Calibri" w:eastAsia="Times New Roman" w:hAnsi="Calibri" w:cs="Calibri"/>
                <w:b/>
                <w:bCs/>
                <w:color w:val="000000"/>
              </w:rPr>
              <w:t>Condition 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FD3F65" w14:textId="77777777" w:rsidR="00DA68BF" w:rsidRPr="00DA68BF" w:rsidRDefault="00DA68BF" w:rsidP="00DA6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68BF">
              <w:rPr>
                <w:rFonts w:ascii="Calibri" w:eastAsia="Times New Roman" w:hAnsi="Calibri" w:cs="Calibri"/>
                <w:b/>
                <w:bCs/>
                <w:color w:val="000000"/>
              </w:rPr>
              <w:t>FTE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75B4BF" w14:textId="77777777" w:rsidR="00DA68BF" w:rsidRPr="00DA68BF" w:rsidRDefault="00DA68BF" w:rsidP="00DA6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68BF">
              <w:rPr>
                <w:rFonts w:ascii="Calibri" w:eastAsia="Times New Roman" w:hAnsi="Calibri" w:cs="Calibri"/>
                <w:b/>
                <w:bCs/>
                <w:color w:val="000000"/>
              </w:rPr>
              <w:t>% Effort</w:t>
            </w:r>
          </w:p>
        </w:tc>
      </w:tr>
      <w:tr w:rsidR="00753D54" w:rsidRPr="00DA68BF" w14:paraId="2BFC8A56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4716" w14:textId="225517C3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community health and wellness [policy, systems, or environment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F57A" w14:textId="236D715B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2508" w14:textId="4D159F4C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13.9%</w:t>
            </w:r>
          </w:p>
        </w:tc>
      </w:tr>
      <w:tr w:rsidR="00753D54" w:rsidRPr="00DA68BF" w14:paraId="78FC269F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C456" w14:textId="2A4E4254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effective public leaders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C879" w14:textId="74B40748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8A65" w14:textId="3CBE4D80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13.4%</w:t>
            </w:r>
          </w:p>
        </w:tc>
      </w:tr>
      <w:tr w:rsidR="00753D54" w:rsidRPr="00DA68BF" w14:paraId="53DC834F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8B1C" w14:textId="57AF351E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[No Condition Change Selected]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99FF" w14:textId="40E73CF4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A9F9" w14:textId="42A8DE5B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11.0%</w:t>
            </w:r>
          </w:p>
        </w:tc>
      </w:tr>
      <w:tr w:rsidR="00753D54" w:rsidRPr="00DA68BF" w14:paraId="600644B4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3CF9" w14:textId="06A17B02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individual and household financial stability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D09" w14:textId="10ADB550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47A4" w14:textId="004BC0A7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8.6%</w:t>
            </w:r>
          </w:p>
        </w:tc>
      </w:tr>
      <w:tr w:rsidR="00753D54" w:rsidRPr="00DA68BF" w14:paraId="10084371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D55" w14:textId="78FBB65B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Self-defined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DF5" w14:textId="0163E237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4F05" w14:textId="02AF0332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7.4%</w:t>
            </w:r>
          </w:p>
        </w:tc>
      </w:tr>
      <w:tr w:rsidR="00753D54" w:rsidRPr="00DA68BF" w14:paraId="07AB0179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0A9D" w14:textId="7E89CB70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civic engagement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E43B" w14:textId="6B3BA216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71F2" w14:textId="702A4FB3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6.5%</w:t>
            </w:r>
          </w:p>
        </w:tc>
      </w:tr>
      <w:tr w:rsidR="00753D54" w:rsidRPr="00DA68BF" w14:paraId="4DB650F2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270B" w14:textId="20CEF2BB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Enhanced community economic development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B1A8" w14:textId="20EABDA2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39A5" w14:textId="20026217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5.9%</w:t>
            </w:r>
          </w:p>
        </w:tc>
      </w:tr>
      <w:tr w:rsidR="00753D54" w:rsidRPr="00DA68BF" w14:paraId="78E9E532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443B" w14:textId="5C7589DD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health for all [individual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FFD" w14:textId="62E2A7B8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D9D" w14:textId="0C187B00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5.5%</w:t>
            </w:r>
          </w:p>
        </w:tc>
      </w:tr>
      <w:tr w:rsidR="00753D54" w:rsidRPr="00DA68BF" w14:paraId="6E738C35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B2F7" w14:textId="2647ABA9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agriculture and forestry efficiency and profitability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74AF" w14:textId="2D1E22E1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5E4D" w14:textId="6B11E412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5.5%</w:t>
            </w:r>
          </w:p>
        </w:tc>
      </w:tr>
      <w:tr w:rsidR="00753D54" w:rsidRPr="00DA68BF" w14:paraId="1BC2411A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BE18" w14:textId="22592A6F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college readiness and access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8DD7" w14:textId="73DF6956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32E6" w14:textId="0C87B634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5.4%</w:t>
            </w:r>
          </w:p>
        </w:tc>
      </w:tr>
      <w:tr w:rsidR="00753D54" w:rsidRPr="00DA68BF" w14:paraId="3A832683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7FC" w14:textId="4D943AAD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Improved animal management, </w:t>
            </w:r>
            <w:proofErr w:type="gramStart"/>
            <w:r>
              <w:rPr>
                <w:rFonts w:ascii="Calibri" w:hAnsi="Calibri" w:cs="Calibri"/>
                <w:color w:val="000000"/>
              </w:rPr>
              <w:t>productivity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 efficiency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83E" w14:textId="56001EB0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471E" w14:textId="4BFAE5FC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4.8%</w:t>
            </w:r>
          </w:p>
        </w:tc>
      </w:tr>
      <w:tr w:rsidR="00753D54" w:rsidRPr="00DA68BF" w14:paraId="2C24A7A7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368C" w14:textId="41483631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safety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7339" w14:textId="4D9F093F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2DCB" w14:textId="56C8C153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4.2%</w:t>
            </w:r>
          </w:p>
        </w:tc>
      </w:tr>
      <w:tr w:rsidR="00753D54" w:rsidRPr="00DA68BF" w14:paraId="35CDECCF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285" w14:textId="0D3DF0FC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access to positive built and natural environments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DB6A" w14:textId="2903ECAF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D11" w14:textId="6D915F4E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3.3%</w:t>
            </w:r>
          </w:p>
        </w:tc>
      </w:tr>
      <w:tr w:rsidR="00753D54" w:rsidRPr="00DA68BF" w14:paraId="66EFAE4C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D8D" w14:textId="564120BE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security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3795" w14:textId="4CE4AE81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569" w14:textId="4213E60C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2.6%</w:t>
            </w:r>
          </w:p>
        </w:tc>
      </w:tr>
      <w:tr w:rsidR="00753D54" w:rsidRPr="00DA68BF" w14:paraId="17F96512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7972" w14:textId="4741E82B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diversity, inclusiveness, and cultural competency in California's workplaces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CA1B" w14:textId="7EEE42B2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306C" w14:textId="27508267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1.8%</w:t>
            </w:r>
          </w:p>
        </w:tc>
      </w:tr>
      <w:tr w:rsidR="00753D54" w:rsidRPr="00DA68BF" w14:paraId="1CD62CB1" w14:textId="77777777" w:rsidTr="00DA68BF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221A" w14:textId="6E2AA8C8" w:rsidR="00753D54" w:rsidRPr="00DA68BF" w:rsidRDefault="00753D54" w:rsidP="0075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32FD" w14:textId="2FC6AD9B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CAD4" w14:textId="11F4497C" w:rsidR="00753D54" w:rsidRPr="00DA68BF" w:rsidRDefault="00753D54" w:rsidP="0075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0034F7F7" w14:textId="31245103" w:rsidR="009D3759" w:rsidRDefault="009D3759" w:rsidP="0061758E">
      <w:pPr>
        <w:spacing w:after="0" w:line="240" w:lineRule="auto"/>
      </w:pPr>
    </w:p>
    <w:p w14:paraId="5944A7F2" w14:textId="77777777" w:rsidR="001A167A" w:rsidRDefault="001A167A" w:rsidP="0061758E">
      <w:pPr>
        <w:spacing w:after="0" w:line="240" w:lineRule="auto"/>
      </w:pPr>
    </w:p>
    <w:p w14:paraId="5F573C76" w14:textId="77777777" w:rsidR="006D4351" w:rsidRPr="009D3759" w:rsidRDefault="006D4351" w:rsidP="0061758E">
      <w:pPr>
        <w:spacing w:after="0" w:line="240" w:lineRule="auto"/>
      </w:pPr>
    </w:p>
    <w:p w14:paraId="6FA82DF8" w14:textId="0ABA3AFE" w:rsidR="00941A85" w:rsidRDefault="00941A85" w:rsidP="0061758E">
      <w:pPr>
        <w:spacing w:after="0" w:line="240" w:lineRule="auto"/>
      </w:pPr>
    </w:p>
    <w:p w14:paraId="2575CB43" w14:textId="686C24CB" w:rsidR="00482F7C" w:rsidRDefault="00482F7C" w:rsidP="0061758E">
      <w:pPr>
        <w:spacing w:after="0" w:line="240" w:lineRule="auto"/>
      </w:pPr>
    </w:p>
    <w:p w14:paraId="536DBFFE" w14:textId="5BD9AE75" w:rsidR="003358E8" w:rsidRDefault="0081162C" w:rsidP="0061758E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California </w:t>
      </w:r>
      <w:r w:rsidR="003358E8" w:rsidRPr="003358E8">
        <w:rPr>
          <w:b/>
          <w:sz w:val="28"/>
        </w:rPr>
        <w:t>Expanded Food &amp; Nutrition Education Program</w:t>
      </w:r>
    </w:p>
    <w:p w14:paraId="7B7B17C3" w14:textId="77777777" w:rsidR="0061758E" w:rsidRDefault="0061758E" w:rsidP="0061758E">
      <w:pPr>
        <w:spacing w:after="0" w:line="240" w:lineRule="auto"/>
        <w:rPr>
          <w:b/>
          <w:sz w:val="28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8460"/>
        <w:gridCol w:w="960"/>
        <w:gridCol w:w="1300"/>
      </w:tblGrid>
      <w:tr w:rsidR="006129C0" w:rsidRPr="006129C0" w14:paraId="646D5890" w14:textId="77777777" w:rsidTr="006129C0">
        <w:trPr>
          <w:trHeight w:val="3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763D8D" w14:textId="77777777" w:rsidR="006129C0" w:rsidRPr="006129C0" w:rsidRDefault="006129C0" w:rsidP="00612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29C0">
              <w:rPr>
                <w:rFonts w:ascii="Calibri" w:eastAsia="Times New Roman" w:hAnsi="Calibri" w:cs="Calibri"/>
                <w:b/>
                <w:bCs/>
                <w:color w:val="000000"/>
              </w:rPr>
              <w:t>Condition 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240D5D" w14:textId="77777777" w:rsidR="006129C0" w:rsidRPr="006129C0" w:rsidRDefault="006129C0" w:rsidP="006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29C0">
              <w:rPr>
                <w:rFonts w:ascii="Calibri" w:eastAsia="Times New Roman" w:hAnsi="Calibri" w:cs="Calibri"/>
                <w:b/>
                <w:bCs/>
                <w:color w:val="000000"/>
              </w:rPr>
              <w:t>FTE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2152AC" w14:textId="77777777" w:rsidR="006129C0" w:rsidRPr="006129C0" w:rsidRDefault="006129C0" w:rsidP="006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29C0">
              <w:rPr>
                <w:rFonts w:ascii="Calibri" w:eastAsia="Times New Roman" w:hAnsi="Calibri" w:cs="Calibri"/>
                <w:b/>
                <w:bCs/>
                <w:color w:val="000000"/>
              </w:rPr>
              <w:t>% Effort</w:t>
            </w:r>
          </w:p>
        </w:tc>
      </w:tr>
      <w:tr w:rsidR="00A44E74" w:rsidRPr="006129C0" w14:paraId="3C681F02" w14:textId="77777777" w:rsidTr="006129C0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279" w14:textId="5ECA9674" w:rsidR="00A44E74" w:rsidRPr="006129C0" w:rsidRDefault="00A44E74" w:rsidP="00A44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health for all [individual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6F4" w14:textId="5E976BFC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72A" w14:textId="67074D18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21.6%</w:t>
            </w:r>
          </w:p>
        </w:tc>
      </w:tr>
      <w:tr w:rsidR="00A44E74" w:rsidRPr="006129C0" w14:paraId="5E6AF800" w14:textId="77777777" w:rsidTr="006129C0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6706" w14:textId="22395DF6" w:rsidR="00A44E74" w:rsidRPr="006129C0" w:rsidRDefault="00A44E74" w:rsidP="00A44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security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5BE" w14:textId="74D9B2C6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6C70" w14:textId="12EA39B1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</w:tr>
      <w:tr w:rsidR="00A44E74" w:rsidRPr="006129C0" w14:paraId="3F1A555F" w14:textId="77777777" w:rsidTr="006129C0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06BE" w14:textId="16974895" w:rsidR="00A44E74" w:rsidRPr="006129C0" w:rsidRDefault="00A44E74" w:rsidP="00A44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community health and wellness [policy, systems, or environment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2B1" w14:textId="4F91F693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912D" w14:textId="6A689ECE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16.8%</w:t>
            </w:r>
          </w:p>
        </w:tc>
      </w:tr>
      <w:tr w:rsidR="00A44E74" w:rsidRPr="006129C0" w14:paraId="0C55B276" w14:textId="77777777" w:rsidTr="006129C0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F82C" w14:textId="25F6D86C" w:rsidR="00A44E74" w:rsidRPr="006129C0" w:rsidRDefault="00A44E74" w:rsidP="00A44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[No Condition Change Selected]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A7F1" w14:textId="7487D21F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169" w14:textId="7DD98642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16.0%</w:t>
            </w:r>
          </w:p>
        </w:tc>
      </w:tr>
      <w:tr w:rsidR="00A44E74" w:rsidRPr="006129C0" w14:paraId="7C68EED9" w14:textId="77777777" w:rsidTr="006129C0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2020" w14:textId="39006B87" w:rsidR="00A44E74" w:rsidRPr="006129C0" w:rsidRDefault="00A44E74" w:rsidP="00A44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safety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3B80" w14:textId="4184390C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691A" w14:textId="2ECE8948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15.6%</w:t>
            </w:r>
          </w:p>
        </w:tc>
      </w:tr>
      <w:tr w:rsidR="00A44E74" w:rsidRPr="006129C0" w14:paraId="004D165E" w14:textId="77777777" w:rsidTr="006129C0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E3F4" w14:textId="670D7306" w:rsidR="00A44E74" w:rsidRPr="006129C0" w:rsidRDefault="00A44E74" w:rsidP="00A44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individual and household financial stability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01D9" w14:textId="1F69EC53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C57D" w14:textId="2317F00C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6.8%</w:t>
            </w:r>
          </w:p>
        </w:tc>
      </w:tr>
      <w:tr w:rsidR="00A44E74" w:rsidRPr="006129C0" w14:paraId="56A9D5E4" w14:textId="77777777" w:rsidTr="006129C0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D257" w14:textId="612F4BF0" w:rsidR="00A44E74" w:rsidRPr="006129C0" w:rsidRDefault="00A44E74" w:rsidP="00A44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management and use of 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44D" w14:textId="69F73B34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9E3F" w14:textId="41D1F16A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0.8%</w:t>
            </w:r>
          </w:p>
        </w:tc>
      </w:tr>
      <w:tr w:rsidR="00A44E74" w:rsidRPr="006129C0" w14:paraId="723FB0A6" w14:textId="77777777" w:rsidTr="006129C0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AD50" w14:textId="2E274A8C" w:rsidR="00A44E74" w:rsidRDefault="00A44E74" w:rsidP="00A44E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air quality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CF26" w14:textId="3463AAF0" w:rsidR="00A44E74" w:rsidRDefault="00A44E74" w:rsidP="00A44E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ACA9" w14:textId="6EA17700" w:rsidR="00A44E74" w:rsidRDefault="00A44E74" w:rsidP="00A44E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0.8%</w:t>
            </w:r>
          </w:p>
        </w:tc>
      </w:tr>
      <w:tr w:rsidR="00A44E74" w:rsidRPr="006129C0" w14:paraId="67D8B59F" w14:textId="77777777" w:rsidTr="006129C0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501A" w14:textId="435F3595" w:rsidR="00A44E74" w:rsidRDefault="00A44E74" w:rsidP="00A44E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water-use efficiency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E17E" w14:textId="36977543" w:rsidR="00A44E74" w:rsidRDefault="00A44E74" w:rsidP="00A44E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75C3" w14:textId="6B7A66E6" w:rsidR="00A44E74" w:rsidRDefault="00A44E74" w:rsidP="00A44E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0.8%</w:t>
            </w:r>
          </w:p>
        </w:tc>
      </w:tr>
      <w:tr w:rsidR="00A44E74" w:rsidRPr="006129C0" w14:paraId="62D9B392" w14:textId="77777777" w:rsidTr="006129C0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6119" w14:textId="6146778D" w:rsidR="00A44E74" w:rsidRPr="006129C0" w:rsidRDefault="00A44E74" w:rsidP="00A44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water-supply security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CAAE" w14:textId="31702EA2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63CE" w14:textId="6B6064A8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0.8%</w:t>
            </w:r>
          </w:p>
        </w:tc>
      </w:tr>
      <w:tr w:rsidR="00A44E74" w:rsidRPr="006129C0" w14:paraId="46871520" w14:textId="77777777" w:rsidTr="006129C0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CACB" w14:textId="35CE9BDC" w:rsidR="00A44E74" w:rsidRPr="006129C0" w:rsidRDefault="00A44E74" w:rsidP="00A44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B706" w14:textId="332E3984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C85" w14:textId="2120DFE4" w:rsidR="00A44E74" w:rsidRPr="006129C0" w:rsidRDefault="00A44E74" w:rsidP="00A44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43DE820F" w14:textId="37BC0768" w:rsidR="009D3759" w:rsidRDefault="009D3759" w:rsidP="0061758E">
      <w:pPr>
        <w:spacing w:after="0" w:line="240" w:lineRule="auto"/>
      </w:pPr>
    </w:p>
    <w:p w14:paraId="32A9F932" w14:textId="77777777" w:rsidR="00F92FAF" w:rsidRDefault="00F92FAF" w:rsidP="00F92FAF">
      <w:pPr>
        <w:spacing w:after="0" w:line="240" w:lineRule="auto"/>
        <w:rPr>
          <w:b/>
          <w:sz w:val="28"/>
        </w:rPr>
      </w:pPr>
    </w:p>
    <w:p w14:paraId="52A0B815" w14:textId="76018075" w:rsidR="00F92FAF" w:rsidRDefault="00F92FAF" w:rsidP="00F92FAF">
      <w:pPr>
        <w:spacing w:after="0" w:line="240" w:lineRule="auto"/>
        <w:rPr>
          <w:b/>
          <w:sz w:val="28"/>
        </w:rPr>
      </w:pPr>
      <w:r w:rsidRPr="0030287B">
        <w:rPr>
          <w:b/>
          <w:sz w:val="28"/>
        </w:rPr>
        <w:t>Cal</w:t>
      </w:r>
      <w:r>
        <w:rPr>
          <w:b/>
          <w:sz w:val="28"/>
        </w:rPr>
        <w:t xml:space="preserve">ifornia Naturalist </w:t>
      </w:r>
      <w:r w:rsidRPr="0030287B">
        <w:rPr>
          <w:b/>
          <w:sz w:val="28"/>
        </w:rPr>
        <w:t>Program</w:t>
      </w:r>
    </w:p>
    <w:p w14:paraId="7AC2D9DD" w14:textId="77777777" w:rsidR="00F92FAF" w:rsidRDefault="00F92FAF" w:rsidP="00F92FAF">
      <w:pPr>
        <w:spacing w:after="0" w:line="240" w:lineRule="auto"/>
        <w:rPr>
          <w:b/>
          <w:sz w:val="28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8460"/>
        <w:gridCol w:w="960"/>
        <w:gridCol w:w="1300"/>
      </w:tblGrid>
      <w:tr w:rsidR="00F92FAF" w:rsidRPr="00A1711C" w14:paraId="59BF3F68" w14:textId="77777777" w:rsidTr="001B35E3">
        <w:trPr>
          <w:trHeight w:val="3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2CE421" w14:textId="77777777" w:rsidR="00F92FAF" w:rsidRPr="00A1711C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11C">
              <w:rPr>
                <w:rFonts w:ascii="Calibri" w:eastAsia="Times New Roman" w:hAnsi="Calibri" w:cs="Calibri"/>
                <w:b/>
                <w:bCs/>
                <w:color w:val="000000"/>
              </w:rPr>
              <w:t>Condition 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388EBE" w14:textId="77777777" w:rsidR="00F92FAF" w:rsidRPr="00A1711C" w:rsidRDefault="00F92FAF" w:rsidP="001B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11C">
              <w:rPr>
                <w:rFonts w:ascii="Calibri" w:eastAsia="Times New Roman" w:hAnsi="Calibri" w:cs="Calibri"/>
                <w:b/>
                <w:bCs/>
                <w:color w:val="000000"/>
              </w:rPr>
              <w:t>FTE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C8F72D" w14:textId="77777777" w:rsidR="00F92FAF" w:rsidRPr="00A1711C" w:rsidRDefault="00F92FAF" w:rsidP="001B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11C">
              <w:rPr>
                <w:rFonts w:ascii="Calibri" w:eastAsia="Times New Roman" w:hAnsi="Calibri" w:cs="Calibri"/>
                <w:b/>
                <w:bCs/>
                <w:color w:val="000000"/>
              </w:rPr>
              <w:t>% Effort</w:t>
            </w:r>
          </w:p>
        </w:tc>
      </w:tr>
      <w:tr w:rsidR="00F92FAF" w:rsidRPr="00A1711C" w14:paraId="08216F79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4C41" w14:textId="77777777" w:rsidR="00F92FAF" w:rsidRPr="00A1711C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workforce retention and competency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1A6D" w14:textId="77777777" w:rsidR="00F92FAF" w:rsidRPr="00A1711C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A601" w14:textId="77777777" w:rsidR="00F92FAF" w:rsidRPr="00A1711C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30.0%</w:t>
            </w:r>
          </w:p>
        </w:tc>
      </w:tr>
      <w:tr w:rsidR="00F92FAF" w:rsidRPr="00A1711C" w14:paraId="6CBDEB43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938" w14:textId="77777777" w:rsidR="00F92FAF" w:rsidRPr="00A1711C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civic engagement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DF06" w14:textId="77777777" w:rsidR="00F92FAF" w:rsidRPr="00A1711C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E68A" w14:textId="77777777" w:rsidR="00F92FAF" w:rsidRPr="00A1711C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</w:tr>
      <w:tr w:rsidR="00F92FAF" w:rsidRPr="00A1711C" w14:paraId="33DBE5A8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CD8" w14:textId="77777777" w:rsidR="00F92FAF" w:rsidRPr="00A1711C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ecological sustainability of agriculture, landscapes, and forestry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DCB3" w14:textId="77777777" w:rsidR="00F92FAF" w:rsidRPr="00A1711C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9DE2" w14:textId="77777777" w:rsidR="00F92FAF" w:rsidRPr="00A1711C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</w:tr>
      <w:tr w:rsidR="00F92FAF" w:rsidRPr="00A1711C" w14:paraId="3FDA0543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2FDB" w14:textId="77777777" w:rsidR="00F92FAF" w:rsidRPr="00A1711C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access to positive built and natural environments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A586" w14:textId="77777777" w:rsidR="00F92FAF" w:rsidRPr="00A1711C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BAA" w14:textId="77777777" w:rsidR="00F92FAF" w:rsidRPr="00A1711C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10.0%</w:t>
            </w:r>
          </w:p>
        </w:tc>
      </w:tr>
      <w:tr w:rsidR="00F92FAF" w:rsidRPr="00A1711C" w14:paraId="5AA34CED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A047" w14:textId="77777777" w:rsidR="00F92FAF" w:rsidRDefault="00F92FAF" w:rsidP="001B35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college readiness and access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7B77" w14:textId="77777777" w:rsidR="00F92FAF" w:rsidRDefault="00F92FAF" w:rsidP="001B35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5C7F" w14:textId="77777777" w:rsidR="00F92FAF" w:rsidRDefault="00F92FAF" w:rsidP="001B35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10.0%</w:t>
            </w:r>
          </w:p>
        </w:tc>
      </w:tr>
      <w:tr w:rsidR="00F92FAF" w:rsidRPr="00A1711C" w14:paraId="237AC6A3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034D" w14:textId="77777777" w:rsidR="00F92FAF" w:rsidRDefault="00F92FAF" w:rsidP="001B35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preparedness and resilience to extreme weather and climate change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8DB2" w14:textId="77777777" w:rsidR="00F92FAF" w:rsidRDefault="00F92FAF" w:rsidP="001B35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AEA4" w14:textId="77777777" w:rsidR="00F92FAF" w:rsidRDefault="00F92FAF" w:rsidP="001B35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10.0%</w:t>
            </w:r>
          </w:p>
        </w:tc>
      </w:tr>
      <w:tr w:rsidR="00F92FAF" w:rsidRPr="00A1711C" w14:paraId="48AB7DAF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14D6" w14:textId="77777777" w:rsidR="00F92FAF" w:rsidRPr="00A1711C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235E" w14:textId="77777777" w:rsidR="00F92FAF" w:rsidRPr="00A1711C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ADE2" w14:textId="77777777" w:rsidR="00F92FAF" w:rsidRPr="00A1711C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4374E544" w14:textId="1000C3E3" w:rsidR="00482F7C" w:rsidRDefault="00482F7C" w:rsidP="0061758E">
      <w:pPr>
        <w:spacing w:after="0" w:line="240" w:lineRule="auto"/>
      </w:pPr>
    </w:p>
    <w:p w14:paraId="0867A293" w14:textId="77777777" w:rsidR="00F92FAF" w:rsidRDefault="00F92FAF" w:rsidP="0061758E">
      <w:pPr>
        <w:spacing w:after="0" w:line="240" w:lineRule="auto"/>
      </w:pPr>
    </w:p>
    <w:p w14:paraId="3859738F" w14:textId="77777777" w:rsidR="00F92FAF" w:rsidRDefault="00F92FAF" w:rsidP="00F92FA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Climate Smart Agriculture</w:t>
      </w:r>
    </w:p>
    <w:p w14:paraId="5AB2F65C" w14:textId="77777777" w:rsidR="00F92FAF" w:rsidRPr="0051419E" w:rsidRDefault="00F92FAF" w:rsidP="00F92FAF">
      <w:pPr>
        <w:spacing w:after="0" w:line="240" w:lineRule="auto"/>
        <w:rPr>
          <w:b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8460"/>
        <w:gridCol w:w="960"/>
        <w:gridCol w:w="1300"/>
      </w:tblGrid>
      <w:tr w:rsidR="00F92FAF" w:rsidRPr="00357CAE" w14:paraId="74E46551" w14:textId="77777777" w:rsidTr="001B35E3">
        <w:trPr>
          <w:trHeight w:val="3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A21738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CAE">
              <w:rPr>
                <w:rFonts w:ascii="Calibri" w:eastAsia="Times New Roman" w:hAnsi="Calibri" w:cs="Calibri"/>
                <w:b/>
                <w:bCs/>
                <w:color w:val="000000"/>
              </w:rPr>
              <w:t>Condition 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61731E" w14:textId="77777777" w:rsidR="00F92FAF" w:rsidRPr="00357CAE" w:rsidRDefault="00F92FAF" w:rsidP="001B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CAE">
              <w:rPr>
                <w:rFonts w:ascii="Calibri" w:eastAsia="Times New Roman" w:hAnsi="Calibri" w:cs="Calibri"/>
                <w:b/>
                <w:bCs/>
                <w:color w:val="000000"/>
              </w:rPr>
              <w:t>FTE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8A3371" w14:textId="77777777" w:rsidR="00F92FAF" w:rsidRPr="00357CAE" w:rsidRDefault="00F92FAF" w:rsidP="001B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CAE">
              <w:rPr>
                <w:rFonts w:ascii="Calibri" w:eastAsia="Times New Roman" w:hAnsi="Calibri" w:cs="Calibri"/>
                <w:b/>
                <w:bCs/>
                <w:color w:val="000000"/>
              </w:rPr>
              <w:t>% Effort</w:t>
            </w:r>
          </w:p>
        </w:tc>
      </w:tr>
      <w:tr w:rsidR="00F92FAF" w:rsidRPr="00357CAE" w14:paraId="12A4796A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CA96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workforce retention and competency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C790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CEE2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30.0%</w:t>
            </w:r>
          </w:p>
        </w:tc>
      </w:tr>
      <w:tr w:rsidR="00F92FAF" w:rsidRPr="00357CAE" w14:paraId="4441A459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BA8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civic engagement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960F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71C1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</w:tr>
      <w:tr w:rsidR="00F92FAF" w:rsidRPr="00357CAE" w14:paraId="73A66C62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CC1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ecological sustainability of agriculture, landscapes, and forestry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0A76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1C3E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</w:tr>
      <w:tr w:rsidR="00F92FAF" w:rsidRPr="00357CAE" w14:paraId="168BF9A1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E117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access to positive built and natural environments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0200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A140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10.0%</w:t>
            </w:r>
          </w:p>
        </w:tc>
      </w:tr>
      <w:tr w:rsidR="00F92FAF" w:rsidRPr="00357CAE" w14:paraId="4BCACF81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6630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college readiness and access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0AF7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832A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10.0%</w:t>
            </w:r>
          </w:p>
        </w:tc>
      </w:tr>
      <w:tr w:rsidR="00F92FAF" w:rsidRPr="00357CAE" w14:paraId="2EDFD2AE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5B42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preparedness and resilience to extreme weather and climate change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D32F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949B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10.0%</w:t>
            </w:r>
          </w:p>
        </w:tc>
      </w:tr>
      <w:tr w:rsidR="00F92FAF" w:rsidRPr="00357CAE" w14:paraId="38EDA5DC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24EA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1EB0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58B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1F2DBA86" w14:textId="0AD4A358" w:rsidR="00F92FAF" w:rsidRDefault="00F92FAF" w:rsidP="0061758E">
      <w:pPr>
        <w:spacing w:after="0" w:line="240" w:lineRule="auto"/>
      </w:pPr>
    </w:p>
    <w:p w14:paraId="1A8B1474" w14:textId="77777777" w:rsidR="00F92FAF" w:rsidRDefault="00F92FAF" w:rsidP="0061758E">
      <w:pPr>
        <w:spacing w:after="0" w:line="240" w:lineRule="auto"/>
      </w:pPr>
    </w:p>
    <w:p w14:paraId="711B403E" w14:textId="72182F71" w:rsidR="00482F7C" w:rsidRDefault="00482F7C" w:rsidP="0061758E">
      <w:pPr>
        <w:spacing w:after="0" w:line="240" w:lineRule="auto"/>
      </w:pPr>
    </w:p>
    <w:p w14:paraId="72122084" w14:textId="77777777" w:rsidR="00F92FAF" w:rsidRDefault="00F92FAF" w:rsidP="00F92FAF">
      <w:pPr>
        <w:spacing w:after="0" w:line="240" w:lineRule="auto"/>
        <w:rPr>
          <w:b/>
          <w:sz w:val="28"/>
        </w:rPr>
      </w:pPr>
    </w:p>
    <w:p w14:paraId="432A494C" w14:textId="360B7EF4" w:rsidR="00F92FAF" w:rsidRDefault="00F92FAF" w:rsidP="00F92FA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Research and Extension Center System, Other</w:t>
      </w:r>
    </w:p>
    <w:p w14:paraId="484ABACE" w14:textId="77777777" w:rsidR="00F92FAF" w:rsidRPr="0051419E" w:rsidRDefault="00F92FAF" w:rsidP="00F92FAF">
      <w:pPr>
        <w:spacing w:after="0" w:line="240" w:lineRule="auto"/>
        <w:rPr>
          <w:b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8460"/>
        <w:gridCol w:w="960"/>
        <w:gridCol w:w="1300"/>
      </w:tblGrid>
      <w:tr w:rsidR="00F92FAF" w:rsidRPr="00653E6D" w14:paraId="656663D1" w14:textId="77777777" w:rsidTr="001B35E3">
        <w:trPr>
          <w:trHeight w:val="3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ED54A3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3E6D">
              <w:rPr>
                <w:rFonts w:ascii="Calibri" w:eastAsia="Times New Roman" w:hAnsi="Calibri" w:cs="Calibri"/>
                <w:b/>
                <w:bCs/>
                <w:color w:val="000000"/>
              </w:rPr>
              <w:t>Condition 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D4EF52" w14:textId="77777777" w:rsidR="00F92FAF" w:rsidRPr="00653E6D" w:rsidRDefault="00F92FAF" w:rsidP="001B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3E6D">
              <w:rPr>
                <w:rFonts w:ascii="Calibri" w:eastAsia="Times New Roman" w:hAnsi="Calibri" w:cs="Calibri"/>
                <w:b/>
                <w:bCs/>
                <w:color w:val="000000"/>
              </w:rPr>
              <w:t>FTE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EDEB3C" w14:textId="77777777" w:rsidR="00F92FAF" w:rsidRPr="00653E6D" w:rsidRDefault="00F92FAF" w:rsidP="001B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3E6D">
              <w:rPr>
                <w:rFonts w:ascii="Calibri" w:eastAsia="Times New Roman" w:hAnsi="Calibri" w:cs="Calibri"/>
                <w:b/>
                <w:bCs/>
                <w:color w:val="000000"/>
              </w:rPr>
              <w:t>% Effort</w:t>
            </w:r>
          </w:p>
        </w:tc>
      </w:tr>
      <w:tr w:rsidR="00F92FAF" w:rsidRPr="00653E6D" w14:paraId="1A166AAF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2F0E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health for all [individual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F5AB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62D4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20.9%</w:t>
            </w:r>
          </w:p>
        </w:tc>
      </w:tr>
      <w:tr w:rsidR="00F92FAF" w:rsidRPr="00653E6D" w14:paraId="26084AE0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53A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security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F11D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C6B7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13.2%</w:t>
            </w:r>
          </w:p>
        </w:tc>
      </w:tr>
      <w:tr w:rsidR="00F92FAF" w:rsidRPr="00653E6D" w14:paraId="28713DB6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889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community health and wellness [policy, systems, or environment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C5A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9E3C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12.3%</w:t>
            </w:r>
          </w:p>
        </w:tc>
      </w:tr>
      <w:tr w:rsidR="00F92FAF" w:rsidRPr="00653E6D" w14:paraId="09150D25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7C3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access to positive built and natural environments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B2BF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17FD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8.8%</w:t>
            </w:r>
          </w:p>
        </w:tc>
      </w:tr>
      <w:tr w:rsidR="00F92FAF" w:rsidRPr="00653E6D" w14:paraId="2C4BF5BC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BD1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management and use of 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D52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35B3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8.1%</w:t>
            </w:r>
          </w:p>
        </w:tc>
      </w:tr>
      <w:tr w:rsidR="00F92FAF" w:rsidRPr="00653E6D" w14:paraId="09C3E86E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01BD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water-use efficiency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A4B3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660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5.3%</w:t>
            </w:r>
          </w:p>
        </w:tc>
      </w:tr>
      <w:tr w:rsidR="00F92FAF" w:rsidRPr="00653E6D" w14:paraId="7D93739F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787C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diversity, inclusiveness, and cultural competency in California's workplaces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138D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CE48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4.9%</w:t>
            </w:r>
          </w:p>
        </w:tc>
      </w:tr>
      <w:tr w:rsidR="00F92FAF" w:rsidRPr="00653E6D" w14:paraId="5E0F6868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A84E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safety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7075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1437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4.4%</w:t>
            </w:r>
          </w:p>
        </w:tc>
      </w:tr>
      <w:tr w:rsidR="00F92FAF" w:rsidRPr="00653E6D" w14:paraId="059D1924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33D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college readiness and access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2C64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B8C4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4.0%</w:t>
            </w:r>
          </w:p>
        </w:tc>
      </w:tr>
      <w:tr w:rsidR="00F92FAF" w:rsidRPr="00653E6D" w14:paraId="5AC7304B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2229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workforce retention and competency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85EB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4824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3.1%</w:t>
            </w:r>
          </w:p>
        </w:tc>
      </w:tr>
      <w:tr w:rsidR="00F92FAF" w:rsidRPr="00653E6D" w14:paraId="7262958D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9553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preparedness and resilience to extreme weather and climate change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018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725F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3.1%</w:t>
            </w:r>
          </w:p>
        </w:tc>
      </w:tr>
      <w:tr w:rsidR="00F92FAF" w:rsidRPr="00653E6D" w14:paraId="0EB7CD7F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49C5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individual and household financial stability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D4AC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969D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2.1%</w:t>
            </w:r>
          </w:p>
        </w:tc>
      </w:tr>
      <w:tr w:rsidR="00F92FAF" w:rsidRPr="00653E6D" w14:paraId="695A35F7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70D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ecological sustainability of agriculture, landscapes, and forestry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F41D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6EE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1.8%</w:t>
            </w:r>
          </w:p>
        </w:tc>
      </w:tr>
      <w:tr w:rsidR="00F92FAF" w:rsidRPr="00653E6D" w14:paraId="5EB6FE67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2829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[No Condition Change Selected]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828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4984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1.8%</w:t>
            </w:r>
          </w:p>
        </w:tc>
      </w:tr>
      <w:tr w:rsidR="00F92FAF" w:rsidRPr="00653E6D" w14:paraId="76B13389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B120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water quality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EE32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B846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1.7%</w:t>
            </w:r>
          </w:p>
        </w:tc>
      </w:tr>
      <w:tr w:rsidR="00F92FAF" w:rsidRPr="00653E6D" w14:paraId="3C3706F5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145F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effective public leaders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2EE5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B61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1.5%</w:t>
            </w:r>
          </w:p>
        </w:tc>
      </w:tr>
      <w:tr w:rsidR="00F92FAF" w:rsidRPr="00653E6D" w14:paraId="3CBED6D5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B0C1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Protected and conserved soil quality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073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86E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1.5%</w:t>
            </w:r>
          </w:p>
        </w:tc>
      </w:tr>
      <w:tr w:rsidR="00F92FAF" w:rsidRPr="00653E6D" w14:paraId="7316AF21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7F2D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civic engagement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93FF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95BF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0.9%</w:t>
            </w:r>
          </w:p>
        </w:tc>
      </w:tr>
      <w:tr w:rsidR="00F92FAF" w:rsidRPr="00653E6D" w14:paraId="29A6AFE4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70A9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Self-defined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DDFC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D72D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0.6%</w:t>
            </w:r>
          </w:p>
        </w:tc>
      </w:tr>
      <w:tr w:rsidR="00F92FAF" w:rsidRPr="00653E6D" w14:paraId="0DE2C486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FCC" w14:textId="77777777" w:rsidR="00F92FAF" w:rsidRPr="00653E6D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7A5F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72B1" w14:textId="77777777" w:rsidR="00F92FAF" w:rsidRPr="00653E6D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4F9A0273" w14:textId="77777777" w:rsidR="00F92FAF" w:rsidRDefault="00F92FAF" w:rsidP="00F92FAF">
      <w:pPr>
        <w:spacing w:after="0" w:line="240" w:lineRule="auto"/>
      </w:pPr>
    </w:p>
    <w:p w14:paraId="625CD157" w14:textId="77777777" w:rsidR="00F92FAF" w:rsidRDefault="00F92FAF" w:rsidP="00F92FAF">
      <w:pPr>
        <w:spacing w:after="0" w:line="240" w:lineRule="auto"/>
      </w:pPr>
    </w:p>
    <w:p w14:paraId="1DD7CF19" w14:textId="77777777" w:rsidR="00F92FAF" w:rsidRDefault="00F92FAF" w:rsidP="00F92FA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Small Farms</w:t>
      </w:r>
    </w:p>
    <w:p w14:paraId="7B30B969" w14:textId="77777777" w:rsidR="00F92FAF" w:rsidRPr="0051419E" w:rsidRDefault="00F92FAF" w:rsidP="00F92FAF">
      <w:pPr>
        <w:spacing w:after="0" w:line="240" w:lineRule="auto"/>
        <w:rPr>
          <w:b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8460"/>
        <w:gridCol w:w="960"/>
        <w:gridCol w:w="1300"/>
      </w:tblGrid>
      <w:tr w:rsidR="00F92FAF" w:rsidRPr="00357CAE" w14:paraId="71CD5C44" w14:textId="77777777" w:rsidTr="001B35E3">
        <w:trPr>
          <w:trHeight w:val="3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45EE5A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CAE">
              <w:rPr>
                <w:rFonts w:ascii="Calibri" w:eastAsia="Times New Roman" w:hAnsi="Calibri" w:cs="Calibri"/>
                <w:b/>
                <w:bCs/>
                <w:color w:val="000000"/>
              </w:rPr>
              <w:t>Condition 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D5BA40" w14:textId="77777777" w:rsidR="00F92FAF" w:rsidRPr="00357CAE" w:rsidRDefault="00F92FAF" w:rsidP="001B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CAE">
              <w:rPr>
                <w:rFonts w:ascii="Calibri" w:eastAsia="Times New Roman" w:hAnsi="Calibri" w:cs="Calibri"/>
                <w:b/>
                <w:bCs/>
                <w:color w:val="000000"/>
              </w:rPr>
              <w:t>FTE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5714FF" w14:textId="77777777" w:rsidR="00F92FAF" w:rsidRPr="00357CAE" w:rsidRDefault="00F92FAF" w:rsidP="001B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CAE">
              <w:rPr>
                <w:rFonts w:ascii="Calibri" w:eastAsia="Times New Roman" w:hAnsi="Calibri" w:cs="Calibri"/>
                <w:b/>
                <w:bCs/>
                <w:color w:val="000000"/>
              </w:rPr>
              <w:t>% Effort</w:t>
            </w:r>
          </w:p>
        </w:tc>
      </w:tr>
      <w:tr w:rsidR="00F92FAF" w:rsidRPr="00357CAE" w14:paraId="701A8E66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908A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management and use of 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F770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86E4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35.0%</w:t>
            </w:r>
          </w:p>
        </w:tc>
      </w:tr>
      <w:tr w:rsidR="00F92FAF" w:rsidRPr="00357CAE" w14:paraId="6B589E7D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DA63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community health and wellness [policy, systems, or environment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E135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6E8A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12.5%</w:t>
            </w:r>
          </w:p>
        </w:tc>
      </w:tr>
      <w:tr w:rsidR="00F92FAF" w:rsidRPr="00357CAE" w14:paraId="20222E39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1314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Protected and conserved soil quality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EDF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7B3A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12.5%</w:t>
            </w:r>
          </w:p>
        </w:tc>
      </w:tr>
      <w:tr w:rsidR="00F92FAF" w:rsidRPr="00357CAE" w14:paraId="212F175C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057D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diversity, inclusiveness, and cultural competency in California's workplaces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82DF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8585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10.0%</w:t>
            </w:r>
          </w:p>
        </w:tc>
      </w:tr>
      <w:tr w:rsidR="00F92FAF" w:rsidRPr="00357CAE" w14:paraId="04D2BF81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E84F" w14:textId="77777777" w:rsidR="00F92FAF" w:rsidRDefault="00F92FAF" w:rsidP="001B35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water quality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E7E7" w14:textId="77777777" w:rsidR="00F92FAF" w:rsidRDefault="00F92FAF" w:rsidP="001B35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7485" w14:textId="77777777" w:rsidR="00F92FAF" w:rsidRDefault="00F92FAF" w:rsidP="001B35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10.0%</w:t>
            </w:r>
          </w:p>
        </w:tc>
      </w:tr>
      <w:tr w:rsidR="00F92FAF" w:rsidRPr="00357CAE" w14:paraId="5815CB6E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5949" w14:textId="77777777" w:rsidR="00F92FAF" w:rsidRDefault="00F92FAF" w:rsidP="001B35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preparedness and resilience to extreme weather and climate change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F973" w14:textId="77777777" w:rsidR="00F92FAF" w:rsidRDefault="00F92FAF" w:rsidP="001B35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5F89" w14:textId="77777777" w:rsidR="00F92FAF" w:rsidRDefault="00F92FAF" w:rsidP="001B35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10.0%</w:t>
            </w:r>
          </w:p>
        </w:tc>
      </w:tr>
      <w:tr w:rsidR="00F92FAF" w:rsidRPr="00357CAE" w14:paraId="27940A14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31CC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individual and household financial stability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3C19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4E85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5.0%</w:t>
            </w:r>
          </w:p>
        </w:tc>
      </w:tr>
      <w:tr w:rsidR="00F92FAF" w:rsidRPr="00357CAE" w14:paraId="31046E56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58DC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ecological sustainability of agriculture, landscapes, and forestry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E796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1C1E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5.0%</w:t>
            </w:r>
          </w:p>
        </w:tc>
      </w:tr>
      <w:tr w:rsidR="00F92FAF" w:rsidRPr="00357CAE" w14:paraId="66B12CAB" w14:textId="77777777" w:rsidTr="001B35E3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9F01" w14:textId="77777777" w:rsidR="00F92FAF" w:rsidRPr="00357CAE" w:rsidRDefault="00F92FAF" w:rsidP="001B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A0F7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CEAA" w14:textId="77777777" w:rsidR="00F92FAF" w:rsidRPr="00357CAE" w:rsidRDefault="00F92FAF" w:rsidP="001B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261651D0" w14:textId="77777777" w:rsidR="00F92FAF" w:rsidRDefault="00F92FAF" w:rsidP="0061758E">
      <w:pPr>
        <w:spacing w:after="0" w:line="240" w:lineRule="auto"/>
        <w:rPr>
          <w:b/>
          <w:sz w:val="28"/>
        </w:rPr>
      </w:pPr>
    </w:p>
    <w:p w14:paraId="52029869" w14:textId="77777777" w:rsidR="00F92FAF" w:rsidRDefault="00F92FAF" w:rsidP="0061758E">
      <w:pPr>
        <w:spacing w:after="0" w:line="240" w:lineRule="auto"/>
        <w:rPr>
          <w:b/>
          <w:sz w:val="28"/>
        </w:rPr>
      </w:pPr>
    </w:p>
    <w:p w14:paraId="6941AABA" w14:textId="77777777" w:rsidR="00F92FAF" w:rsidRDefault="00F92FAF" w:rsidP="0061758E">
      <w:pPr>
        <w:spacing w:after="0" w:line="240" w:lineRule="auto"/>
        <w:rPr>
          <w:b/>
          <w:sz w:val="28"/>
        </w:rPr>
      </w:pPr>
    </w:p>
    <w:p w14:paraId="79EF96FE" w14:textId="77777777" w:rsidR="00F92FAF" w:rsidRDefault="00F92FAF" w:rsidP="0061758E">
      <w:pPr>
        <w:spacing w:after="0" w:line="240" w:lineRule="auto"/>
        <w:rPr>
          <w:b/>
          <w:sz w:val="28"/>
        </w:rPr>
      </w:pPr>
    </w:p>
    <w:p w14:paraId="1AC9C5EE" w14:textId="77777777" w:rsidR="00F92FAF" w:rsidRDefault="00F92FAF" w:rsidP="0061758E">
      <w:pPr>
        <w:spacing w:after="0" w:line="240" w:lineRule="auto"/>
        <w:rPr>
          <w:b/>
          <w:sz w:val="28"/>
        </w:rPr>
      </w:pPr>
    </w:p>
    <w:p w14:paraId="064EC32F" w14:textId="77809464" w:rsidR="00977A99" w:rsidRDefault="00977A99" w:rsidP="0061758E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UC </w:t>
      </w:r>
      <w:r w:rsidRPr="00977A99">
        <w:rPr>
          <w:b/>
          <w:sz w:val="28"/>
        </w:rPr>
        <w:t>Integrated Pest Management</w:t>
      </w:r>
      <w:r w:rsidRPr="003358E8">
        <w:rPr>
          <w:b/>
          <w:sz w:val="28"/>
        </w:rPr>
        <w:t xml:space="preserve"> Program</w:t>
      </w:r>
    </w:p>
    <w:p w14:paraId="1A91A2BD" w14:textId="77777777" w:rsidR="0061758E" w:rsidRDefault="0061758E" w:rsidP="0061758E">
      <w:pPr>
        <w:spacing w:after="0" w:line="240" w:lineRule="auto"/>
        <w:rPr>
          <w:b/>
          <w:sz w:val="28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8460"/>
        <w:gridCol w:w="960"/>
        <w:gridCol w:w="1300"/>
      </w:tblGrid>
      <w:tr w:rsidR="00BE69A1" w:rsidRPr="00BE69A1" w14:paraId="4089F4AF" w14:textId="77777777" w:rsidTr="00BE69A1">
        <w:trPr>
          <w:trHeight w:val="3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2F3C76" w14:textId="77777777" w:rsidR="00BE69A1" w:rsidRPr="00BE69A1" w:rsidRDefault="00BE69A1" w:rsidP="00BE6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9A1">
              <w:rPr>
                <w:rFonts w:ascii="Calibri" w:eastAsia="Times New Roman" w:hAnsi="Calibri" w:cs="Calibri"/>
                <w:b/>
                <w:bCs/>
                <w:color w:val="000000"/>
              </w:rPr>
              <w:t>Condition 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2F47E5" w14:textId="77777777" w:rsidR="00BE69A1" w:rsidRPr="00BE69A1" w:rsidRDefault="00BE69A1" w:rsidP="00BE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9A1">
              <w:rPr>
                <w:rFonts w:ascii="Calibri" w:eastAsia="Times New Roman" w:hAnsi="Calibri" w:cs="Calibri"/>
                <w:b/>
                <w:bCs/>
                <w:color w:val="000000"/>
              </w:rPr>
              <w:t>FTE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E5EB8A" w14:textId="77777777" w:rsidR="00BE69A1" w:rsidRPr="00BE69A1" w:rsidRDefault="00BE69A1" w:rsidP="00BE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9A1">
              <w:rPr>
                <w:rFonts w:ascii="Calibri" w:eastAsia="Times New Roman" w:hAnsi="Calibri" w:cs="Calibri"/>
                <w:b/>
                <w:bCs/>
                <w:color w:val="000000"/>
              </w:rPr>
              <w:t>% Effort</w:t>
            </w:r>
          </w:p>
        </w:tc>
      </w:tr>
      <w:tr w:rsidR="00B36CE1" w:rsidRPr="00BE69A1" w14:paraId="3D720382" w14:textId="77777777" w:rsidTr="00BE69A1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B877" w14:textId="4956B1D8" w:rsidR="00B36CE1" w:rsidRPr="00BE69A1" w:rsidRDefault="00B36CE1" w:rsidP="00B36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Enhanced community economic development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6D5E" w14:textId="56742F48" w:rsidR="00B36CE1" w:rsidRPr="00BE69A1" w:rsidRDefault="00B36CE1" w:rsidP="00B36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B92" w14:textId="3167FDF6" w:rsidR="00B36CE1" w:rsidRPr="00BE69A1" w:rsidRDefault="00B36CE1" w:rsidP="00B36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62.5%</w:t>
            </w:r>
          </w:p>
        </w:tc>
      </w:tr>
      <w:tr w:rsidR="00B36CE1" w:rsidRPr="00BE69A1" w14:paraId="3DA0641A" w14:textId="77777777" w:rsidTr="00BE69A1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7967" w14:textId="2DB4C5D8" w:rsidR="00B36CE1" w:rsidRPr="00BE69A1" w:rsidRDefault="00B36CE1" w:rsidP="00B36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living and working conditions for California's food system and farm workers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42D3" w14:textId="042A2DE4" w:rsidR="00B36CE1" w:rsidRPr="00BE69A1" w:rsidRDefault="00B36CE1" w:rsidP="00B36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93C3" w14:textId="6DD0A154" w:rsidR="00B36CE1" w:rsidRPr="00BE69A1" w:rsidRDefault="00B36CE1" w:rsidP="00B36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25.0%</w:t>
            </w:r>
          </w:p>
        </w:tc>
      </w:tr>
      <w:tr w:rsidR="00B36CE1" w:rsidRPr="00BE69A1" w14:paraId="691A5D7B" w14:textId="77777777" w:rsidTr="00BE69A1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F21" w14:textId="1E634B98" w:rsidR="00B36CE1" w:rsidRPr="00BE69A1" w:rsidRDefault="00B36CE1" w:rsidP="00B36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[No Condition Change Selected]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6BFB" w14:textId="5B78A7F4" w:rsidR="00B36CE1" w:rsidRPr="00BE69A1" w:rsidRDefault="00B36CE1" w:rsidP="00B36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519B" w14:textId="52E87DEB" w:rsidR="00B36CE1" w:rsidRPr="00BE69A1" w:rsidRDefault="00B36CE1" w:rsidP="00B36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12.5%</w:t>
            </w:r>
          </w:p>
        </w:tc>
      </w:tr>
      <w:tr w:rsidR="00B36CE1" w:rsidRPr="00BE69A1" w14:paraId="1DD33791" w14:textId="77777777" w:rsidTr="00BE69A1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5280" w14:textId="21149690" w:rsidR="00B36CE1" w:rsidRPr="00BE69A1" w:rsidRDefault="00B36CE1" w:rsidP="00B36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BCD6" w14:textId="25D3C83E" w:rsidR="00B36CE1" w:rsidRPr="00BE69A1" w:rsidRDefault="00B36CE1" w:rsidP="00B36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2A65" w14:textId="7EE9FA6C" w:rsidR="00B36CE1" w:rsidRPr="00BE69A1" w:rsidRDefault="00B36CE1" w:rsidP="00B36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6BBAA66E" w14:textId="527242B0" w:rsidR="0061758E" w:rsidRDefault="0061758E" w:rsidP="0061758E">
      <w:pPr>
        <w:spacing w:after="0" w:line="240" w:lineRule="auto"/>
        <w:rPr>
          <w:b/>
          <w:sz w:val="28"/>
        </w:rPr>
      </w:pPr>
    </w:p>
    <w:p w14:paraId="77631B3C" w14:textId="77777777" w:rsidR="001A167A" w:rsidRDefault="001A167A" w:rsidP="0061758E">
      <w:pPr>
        <w:spacing w:after="0" w:line="240" w:lineRule="auto"/>
        <w:rPr>
          <w:b/>
          <w:sz w:val="28"/>
        </w:rPr>
      </w:pPr>
    </w:p>
    <w:p w14:paraId="567EEBD0" w14:textId="0D0AEE42" w:rsidR="00EB099F" w:rsidRDefault="00EB099F" w:rsidP="0061758E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UC </w:t>
      </w:r>
      <w:r w:rsidRPr="00EB099F">
        <w:rPr>
          <w:b/>
          <w:sz w:val="28"/>
        </w:rPr>
        <w:t>Master Food Preserver</w:t>
      </w:r>
      <w:r w:rsidRPr="0030287B">
        <w:rPr>
          <w:b/>
          <w:sz w:val="28"/>
        </w:rPr>
        <w:t xml:space="preserve"> Program</w:t>
      </w:r>
    </w:p>
    <w:p w14:paraId="600E36CC" w14:textId="77777777" w:rsidR="0061758E" w:rsidRDefault="0061758E" w:rsidP="0061758E">
      <w:pPr>
        <w:spacing w:after="0" w:line="240" w:lineRule="auto"/>
        <w:rPr>
          <w:b/>
          <w:sz w:val="28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8460"/>
        <w:gridCol w:w="960"/>
        <w:gridCol w:w="1300"/>
      </w:tblGrid>
      <w:tr w:rsidR="00606FAC" w:rsidRPr="00606FAC" w14:paraId="2DD35355" w14:textId="77777777" w:rsidTr="00606FAC">
        <w:trPr>
          <w:trHeight w:val="3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F01720" w14:textId="77777777" w:rsidR="00606FAC" w:rsidRPr="00606FAC" w:rsidRDefault="00606FAC" w:rsidP="0060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6FAC">
              <w:rPr>
                <w:rFonts w:ascii="Calibri" w:eastAsia="Times New Roman" w:hAnsi="Calibri" w:cs="Calibri"/>
                <w:b/>
                <w:bCs/>
                <w:color w:val="000000"/>
              </w:rPr>
              <w:t>Condition 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B3EEA2" w14:textId="77777777" w:rsidR="00606FAC" w:rsidRPr="00606FAC" w:rsidRDefault="00606FAC" w:rsidP="0060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6FAC">
              <w:rPr>
                <w:rFonts w:ascii="Calibri" w:eastAsia="Times New Roman" w:hAnsi="Calibri" w:cs="Calibri"/>
                <w:b/>
                <w:bCs/>
                <w:color w:val="000000"/>
              </w:rPr>
              <w:t>FTE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D685AE" w14:textId="77777777" w:rsidR="00606FAC" w:rsidRPr="00606FAC" w:rsidRDefault="00606FAC" w:rsidP="0060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6FAC">
              <w:rPr>
                <w:rFonts w:ascii="Calibri" w:eastAsia="Times New Roman" w:hAnsi="Calibri" w:cs="Calibri"/>
                <w:b/>
                <w:bCs/>
                <w:color w:val="000000"/>
              </w:rPr>
              <w:t>% Effort</w:t>
            </w:r>
          </w:p>
        </w:tc>
      </w:tr>
      <w:tr w:rsidR="005862E0" w:rsidRPr="00606FAC" w14:paraId="62501F1B" w14:textId="77777777" w:rsidTr="00606FAC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A5AB" w14:textId="18993C36" w:rsidR="005862E0" w:rsidRPr="00606FAC" w:rsidRDefault="005862E0" w:rsidP="00586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safety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5708" w14:textId="3F7E6CD2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9371" w14:textId="4FE97598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51.4%</w:t>
            </w:r>
          </w:p>
        </w:tc>
      </w:tr>
      <w:tr w:rsidR="005862E0" w:rsidRPr="00606FAC" w14:paraId="28D3B12F" w14:textId="77777777" w:rsidTr="00606FAC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2C78" w14:textId="26B3DE31" w:rsidR="005862E0" w:rsidRPr="00606FAC" w:rsidRDefault="005862E0" w:rsidP="00586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effective public leaders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D361" w14:textId="3C8AF22C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1DA3" w14:textId="7C9FA388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14.3%</w:t>
            </w:r>
          </w:p>
        </w:tc>
      </w:tr>
      <w:tr w:rsidR="005862E0" w:rsidRPr="00606FAC" w14:paraId="5BDC301A" w14:textId="77777777" w:rsidTr="00606FAC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00A" w14:textId="3CBA2606" w:rsidR="005862E0" w:rsidRPr="00606FAC" w:rsidRDefault="005862E0" w:rsidP="00586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community health and wellness [policy, systems, or environment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D2EA" w14:textId="6CFC276E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2855" w14:textId="263687C4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14.3%</w:t>
            </w:r>
          </w:p>
        </w:tc>
      </w:tr>
      <w:tr w:rsidR="005862E0" w:rsidRPr="00606FAC" w14:paraId="2774E8CE" w14:textId="77777777" w:rsidTr="00606FAC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C97" w14:textId="37706186" w:rsidR="005862E0" w:rsidRPr="00606FAC" w:rsidRDefault="005862E0" w:rsidP="00586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security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59D8" w14:textId="3816358C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AE20" w14:textId="7654BBDE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11.4%</w:t>
            </w:r>
          </w:p>
        </w:tc>
      </w:tr>
      <w:tr w:rsidR="005862E0" w:rsidRPr="00606FAC" w14:paraId="4C8A6BBC" w14:textId="77777777" w:rsidTr="00606FAC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DEF5" w14:textId="53A74F95" w:rsidR="005862E0" w:rsidRPr="00606FAC" w:rsidRDefault="005862E0" w:rsidP="00586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health for all [individual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38B7" w14:textId="5368C680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AAE9" w14:textId="47D15F9D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8.6%</w:t>
            </w:r>
          </w:p>
        </w:tc>
      </w:tr>
      <w:tr w:rsidR="005862E0" w:rsidRPr="00606FAC" w14:paraId="48BBA733" w14:textId="77777777" w:rsidTr="00606FAC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E2E3" w14:textId="36A1893C" w:rsidR="005862E0" w:rsidRPr="00606FAC" w:rsidRDefault="005862E0" w:rsidP="00586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0545" w14:textId="0E1A6957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E3A3" w14:textId="2D0424F6" w:rsidR="005862E0" w:rsidRPr="00606FAC" w:rsidRDefault="005862E0" w:rsidP="00586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6F9DCEC0" w14:textId="5137DDA0" w:rsidR="009D3759" w:rsidRDefault="009D3759" w:rsidP="0061758E">
      <w:pPr>
        <w:spacing w:after="0" w:line="240" w:lineRule="auto"/>
      </w:pPr>
    </w:p>
    <w:p w14:paraId="673E3371" w14:textId="71284C07" w:rsidR="00482F7C" w:rsidRDefault="00482F7C" w:rsidP="0061758E">
      <w:pPr>
        <w:spacing w:after="0" w:line="240" w:lineRule="auto"/>
      </w:pPr>
    </w:p>
    <w:p w14:paraId="4A7A7BA5" w14:textId="620B3FEC" w:rsidR="00667E74" w:rsidRDefault="00667E74" w:rsidP="0061758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UC Master Gardener Program</w:t>
      </w:r>
    </w:p>
    <w:p w14:paraId="76D7B9C2" w14:textId="7D9BBA71" w:rsidR="00593ACA" w:rsidRDefault="00593ACA" w:rsidP="0061758E">
      <w:pPr>
        <w:spacing w:after="0" w:line="240" w:lineRule="auto"/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8460"/>
        <w:gridCol w:w="960"/>
        <w:gridCol w:w="1300"/>
      </w:tblGrid>
      <w:tr w:rsidR="00860757" w:rsidRPr="00860757" w14:paraId="329466A2" w14:textId="77777777" w:rsidTr="00860757">
        <w:trPr>
          <w:trHeight w:val="3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083628" w14:textId="77777777" w:rsidR="00860757" w:rsidRPr="00860757" w:rsidRDefault="00860757" w:rsidP="00860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0757">
              <w:rPr>
                <w:rFonts w:ascii="Calibri" w:eastAsia="Times New Roman" w:hAnsi="Calibri" w:cs="Calibri"/>
                <w:b/>
                <w:bCs/>
                <w:color w:val="000000"/>
              </w:rPr>
              <w:t>Condition 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1295B0" w14:textId="77777777" w:rsidR="00860757" w:rsidRPr="00860757" w:rsidRDefault="00860757" w:rsidP="0086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0757">
              <w:rPr>
                <w:rFonts w:ascii="Calibri" w:eastAsia="Times New Roman" w:hAnsi="Calibri" w:cs="Calibri"/>
                <w:b/>
                <w:bCs/>
                <w:color w:val="000000"/>
              </w:rPr>
              <w:t>FTE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057632" w14:textId="77777777" w:rsidR="00860757" w:rsidRPr="00860757" w:rsidRDefault="00860757" w:rsidP="0086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0757">
              <w:rPr>
                <w:rFonts w:ascii="Calibri" w:eastAsia="Times New Roman" w:hAnsi="Calibri" w:cs="Calibri"/>
                <w:b/>
                <w:bCs/>
                <w:color w:val="000000"/>
              </w:rPr>
              <w:t>% Effort</w:t>
            </w:r>
          </w:p>
        </w:tc>
      </w:tr>
      <w:tr w:rsidR="00DD311F" w:rsidRPr="00860757" w14:paraId="3370E1FF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21B" w14:textId="23D59427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water-use efficiency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3B3" w14:textId="708746F2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6539" w14:textId="3B1906EE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22.1%</w:t>
            </w:r>
          </w:p>
        </w:tc>
      </w:tr>
      <w:tr w:rsidR="00DD311F" w:rsidRPr="00860757" w14:paraId="668F6C20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C683" w14:textId="086FB0A4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security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3F05" w14:textId="65743DDE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BD5" w14:textId="52225B3E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14.5%</w:t>
            </w:r>
          </w:p>
        </w:tc>
      </w:tr>
      <w:tr w:rsidR="00DD311F" w:rsidRPr="00860757" w14:paraId="2A59DC91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E7FC" w14:textId="7AD72641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water quality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78A8" w14:textId="77663803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6ACB" w14:textId="69681371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10.0%</w:t>
            </w:r>
          </w:p>
        </w:tc>
      </w:tr>
      <w:tr w:rsidR="00DD311F" w:rsidRPr="00860757" w14:paraId="63E579AE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7307" w14:textId="28B61540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health for all [individual level]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B0E7" w14:textId="51C06437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7432" w14:textId="692228F5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9.8%</w:t>
            </w:r>
          </w:p>
        </w:tc>
      </w:tr>
      <w:tr w:rsidR="00DD311F" w:rsidRPr="00860757" w14:paraId="4EBE9DD1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E80B" w14:textId="789666B3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civic engagement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D40C" w14:textId="3126FE7F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B97B" w14:textId="10AA3D87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9.5%</w:t>
            </w:r>
          </w:p>
        </w:tc>
      </w:tr>
      <w:tr w:rsidR="00DD311F" w:rsidRPr="00860757" w14:paraId="417D028B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37C4" w14:textId="208B8196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management and use of 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0FB4" w14:textId="7D1E7EB9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3A64" w14:textId="4785632F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6.9%</w:t>
            </w:r>
          </w:p>
        </w:tc>
      </w:tr>
      <w:tr w:rsidR="00DD311F" w:rsidRPr="00860757" w14:paraId="18C22890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5DC4" w14:textId="62D46008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Protected and conserved soil quality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2F27" w14:textId="0DE990AB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A3E4" w14:textId="730E6205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6.2%</w:t>
            </w:r>
          </w:p>
        </w:tc>
      </w:tr>
      <w:tr w:rsidR="00DD311F" w:rsidRPr="00860757" w14:paraId="35980AF4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E1C5" w14:textId="0AD5734A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ecological sustainability of agriculture, landscapes, and forestry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B05" w14:textId="613BD0F1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A62" w14:textId="757406B0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5.7%</w:t>
            </w:r>
          </w:p>
        </w:tc>
      </w:tr>
      <w:tr w:rsidR="00DD311F" w:rsidRPr="00860757" w14:paraId="28D9D2BE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51B" w14:textId="2C4EDF95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Self-defined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4B5" w14:textId="11211AD8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1A90" w14:textId="74C9E6A2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4.8%</w:t>
            </w:r>
          </w:p>
        </w:tc>
      </w:tr>
      <w:tr w:rsidR="00DD311F" w:rsidRPr="00860757" w14:paraId="414D687D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0FD" w14:textId="5BBC48BA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agriculture and forestry efficiency and profitability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4C11" w14:textId="47C14F18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0012" w14:textId="6174E15C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3.3%</w:t>
            </w:r>
          </w:p>
        </w:tc>
      </w:tr>
      <w:tr w:rsidR="00DD311F" w:rsidRPr="00860757" w14:paraId="11CBF725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54DB" w14:textId="17A3A753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food safety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4068" w14:textId="281C955A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05F" w14:textId="1F981811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2.9%</w:t>
            </w:r>
          </w:p>
        </w:tc>
      </w:tr>
      <w:tr w:rsidR="00DD311F" w:rsidRPr="00860757" w14:paraId="10A20266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450F" w14:textId="28DFF7A7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Improved access to positive built and natural environments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2951" w14:textId="332C9357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CC3D" w14:textId="501D49FF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1.9%</w:t>
            </w:r>
          </w:p>
        </w:tc>
      </w:tr>
      <w:tr w:rsidR="00DD311F" w:rsidRPr="00860757" w14:paraId="6528EC57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F69E" w14:textId="0C31AF0B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preparedness and resilience to extreme weather and climate change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03BB" w14:textId="60ACE78D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1232" w14:textId="6DE96C73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1.9%</w:t>
            </w:r>
          </w:p>
        </w:tc>
      </w:tr>
      <w:tr w:rsidR="00DD311F" w:rsidRPr="00860757" w14:paraId="1843A1A4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043" w14:textId="24BB637C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diversity, inclusiveness, and cultural competency in California's workplaces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B172" w14:textId="2959C757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137E" w14:textId="021B8E8D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0.5%</w:t>
            </w:r>
          </w:p>
        </w:tc>
      </w:tr>
      <w:tr w:rsidR="00DD311F" w:rsidRPr="00860757" w14:paraId="070F6B04" w14:textId="77777777" w:rsidTr="00860757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19BF" w14:textId="6A76C853" w:rsidR="00DD311F" w:rsidRPr="00860757" w:rsidRDefault="00DD311F" w:rsidP="00DD3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FAE" w14:textId="38200C8C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DA9C" w14:textId="2690BB80" w:rsidR="00DD311F" w:rsidRPr="00860757" w:rsidRDefault="00DD311F" w:rsidP="00DD3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5A4C7F4E" w14:textId="60A72BDF" w:rsidR="005C0670" w:rsidRDefault="005C0670" w:rsidP="0061758E">
      <w:pPr>
        <w:spacing w:after="0" w:line="240" w:lineRule="auto"/>
      </w:pPr>
    </w:p>
    <w:p w14:paraId="084AEAD3" w14:textId="266684C7" w:rsidR="008A7DA8" w:rsidRDefault="008A7DA8" w:rsidP="0061758E">
      <w:pPr>
        <w:spacing w:after="0" w:line="240" w:lineRule="auto"/>
      </w:pPr>
    </w:p>
    <w:p w14:paraId="71653631" w14:textId="77777777" w:rsidR="00F92FAF" w:rsidRDefault="00F92FAF" w:rsidP="0051419E">
      <w:pPr>
        <w:spacing w:after="0" w:line="240" w:lineRule="auto"/>
      </w:pPr>
    </w:p>
    <w:sectPr w:rsidR="00F92FAF" w:rsidSect="00941A85">
      <w:headerReference w:type="default" r:id="rId10"/>
      <w:footerReference w:type="default" r:id="rId11"/>
      <w:pgSz w:w="12240" w:h="15840"/>
      <w:pgMar w:top="12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DE10" w14:textId="77777777" w:rsidR="00794529" w:rsidRDefault="00794529" w:rsidP="00FE47E1">
      <w:pPr>
        <w:spacing w:after="0" w:line="240" w:lineRule="auto"/>
      </w:pPr>
      <w:r>
        <w:separator/>
      </w:r>
    </w:p>
  </w:endnote>
  <w:endnote w:type="continuationSeparator" w:id="0">
    <w:p w14:paraId="390F0542" w14:textId="77777777" w:rsidR="00794529" w:rsidRDefault="00794529" w:rsidP="00FE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016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1D350" w14:textId="15FFA7DF" w:rsidR="00C72D0C" w:rsidRDefault="00C72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C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0B8404" w14:textId="77777777" w:rsidR="00C72D0C" w:rsidRDefault="00C72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9D9C" w14:textId="77777777" w:rsidR="00794529" w:rsidRDefault="00794529" w:rsidP="00FE47E1">
      <w:pPr>
        <w:spacing w:after="0" w:line="240" w:lineRule="auto"/>
      </w:pPr>
      <w:r>
        <w:separator/>
      </w:r>
    </w:p>
  </w:footnote>
  <w:footnote w:type="continuationSeparator" w:id="0">
    <w:p w14:paraId="753B9044" w14:textId="77777777" w:rsidR="00794529" w:rsidRDefault="00794529" w:rsidP="00FE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EF49" w14:textId="77777777" w:rsidR="00C72D0C" w:rsidRDefault="00C72D0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5257F4" wp14:editId="7305288B">
          <wp:simplePos x="0" y="0"/>
          <wp:positionH relativeFrom="column">
            <wp:posOffset>-1371600</wp:posOffset>
          </wp:positionH>
          <wp:positionV relativeFrom="paragraph">
            <wp:posOffset>-368300</wp:posOffset>
          </wp:positionV>
          <wp:extent cx="5715000" cy="8255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R_subbrands_horizontal_pla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825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7BB"/>
    <w:multiLevelType w:val="hybridMultilevel"/>
    <w:tmpl w:val="7A36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873"/>
    <w:multiLevelType w:val="hybridMultilevel"/>
    <w:tmpl w:val="4D1E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0E69"/>
    <w:multiLevelType w:val="hybridMultilevel"/>
    <w:tmpl w:val="1750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533EF"/>
    <w:multiLevelType w:val="hybridMultilevel"/>
    <w:tmpl w:val="A2E485B0"/>
    <w:lvl w:ilvl="0" w:tplc="C2E66A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418D"/>
    <w:multiLevelType w:val="hybridMultilevel"/>
    <w:tmpl w:val="2242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D2B05"/>
    <w:multiLevelType w:val="hybridMultilevel"/>
    <w:tmpl w:val="2E38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21E8"/>
    <w:multiLevelType w:val="hybridMultilevel"/>
    <w:tmpl w:val="1D3C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21B32"/>
    <w:multiLevelType w:val="hybridMultilevel"/>
    <w:tmpl w:val="2D24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6F0E"/>
    <w:multiLevelType w:val="hybridMultilevel"/>
    <w:tmpl w:val="70E46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8147D"/>
    <w:multiLevelType w:val="hybridMultilevel"/>
    <w:tmpl w:val="800A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1136"/>
    <w:multiLevelType w:val="hybridMultilevel"/>
    <w:tmpl w:val="DDDA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B2FE6"/>
    <w:multiLevelType w:val="hybridMultilevel"/>
    <w:tmpl w:val="1DC8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57D19"/>
    <w:multiLevelType w:val="hybridMultilevel"/>
    <w:tmpl w:val="E32E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61247"/>
    <w:multiLevelType w:val="hybridMultilevel"/>
    <w:tmpl w:val="C25C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11112"/>
    <w:multiLevelType w:val="hybridMultilevel"/>
    <w:tmpl w:val="DDCC9E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0546B1"/>
    <w:multiLevelType w:val="hybridMultilevel"/>
    <w:tmpl w:val="6354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B5A4C"/>
    <w:multiLevelType w:val="hybridMultilevel"/>
    <w:tmpl w:val="D2824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24F8A"/>
    <w:multiLevelType w:val="hybridMultilevel"/>
    <w:tmpl w:val="B26C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529C1"/>
    <w:multiLevelType w:val="multilevel"/>
    <w:tmpl w:val="F6B8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2E7C6B"/>
    <w:multiLevelType w:val="hybridMultilevel"/>
    <w:tmpl w:val="B44C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63485">
    <w:abstractNumId w:val="2"/>
  </w:num>
  <w:num w:numId="2" w16cid:durableId="486750969">
    <w:abstractNumId w:val="12"/>
  </w:num>
  <w:num w:numId="3" w16cid:durableId="1910726905">
    <w:abstractNumId w:val="0"/>
  </w:num>
  <w:num w:numId="4" w16cid:durableId="931088013">
    <w:abstractNumId w:val="5"/>
  </w:num>
  <w:num w:numId="5" w16cid:durableId="130489696">
    <w:abstractNumId w:val="11"/>
  </w:num>
  <w:num w:numId="6" w16cid:durableId="291133855">
    <w:abstractNumId w:val="1"/>
  </w:num>
  <w:num w:numId="7" w16cid:durableId="241838731">
    <w:abstractNumId w:val="9"/>
  </w:num>
  <w:num w:numId="8" w16cid:durableId="103228810">
    <w:abstractNumId w:val="7"/>
  </w:num>
  <w:num w:numId="9" w16cid:durableId="1722513986">
    <w:abstractNumId w:val="6"/>
  </w:num>
  <w:num w:numId="10" w16cid:durableId="1122771316">
    <w:abstractNumId w:val="10"/>
  </w:num>
  <w:num w:numId="11" w16cid:durableId="1316374473">
    <w:abstractNumId w:val="13"/>
  </w:num>
  <w:num w:numId="12" w16cid:durableId="348456261">
    <w:abstractNumId w:val="3"/>
  </w:num>
  <w:num w:numId="13" w16cid:durableId="1581480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846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1791785">
    <w:abstractNumId w:val="14"/>
  </w:num>
  <w:num w:numId="16" w16cid:durableId="1101293427">
    <w:abstractNumId w:val="4"/>
  </w:num>
  <w:num w:numId="17" w16cid:durableId="570701318">
    <w:abstractNumId w:val="8"/>
  </w:num>
  <w:num w:numId="18" w16cid:durableId="176778187">
    <w:abstractNumId w:val="15"/>
  </w:num>
  <w:num w:numId="19" w16cid:durableId="761147641">
    <w:abstractNumId w:val="17"/>
  </w:num>
  <w:num w:numId="20" w16cid:durableId="1758674332">
    <w:abstractNumId w:val="19"/>
  </w:num>
  <w:num w:numId="21" w16cid:durableId="18166796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34"/>
    <w:rsid w:val="00002777"/>
    <w:rsid w:val="000148C1"/>
    <w:rsid w:val="00016F1E"/>
    <w:rsid w:val="0001773C"/>
    <w:rsid w:val="00020AB3"/>
    <w:rsid w:val="00024776"/>
    <w:rsid w:val="00026AC2"/>
    <w:rsid w:val="00046065"/>
    <w:rsid w:val="000505C2"/>
    <w:rsid w:val="00050C60"/>
    <w:rsid w:val="000541ED"/>
    <w:rsid w:val="00056519"/>
    <w:rsid w:val="00060441"/>
    <w:rsid w:val="000614BE"/>
    <w:rsid w:val="00075B5F"/>
    <w:rsid w:val="00076988"/>
    <w:rsid w:val="000777AB"/>
    <w:rsid w:val="0008331E"/>
    <w:rsid w:val="00086C96"/>
    <w:rsid w:val="0009005C"/>
    <w:rsid w:val="00094453"/>
    <w:rsid w:val="00095F8C"/>
    <w:rsid w:val="00097A1B"/>
    <w:rsid w:val="000A054A"/>
    <w:rsid w:val="000B1770"/>
    <w:rsid w:val="000B50AC"/>
    <w:rsid w:val="000B72F1"/>
    <w:rsid w:val="000C03F5"/>
    <w:rsid w:val="000C5634"/>
    <w:rsid w:val="000C7B76"/>
    <w:rsid w:val="000D0A2B"/>
    <w:rsid w:val="000E087D"/>
    <w:rsid w:val="000E0E6C"/>
    <w:rsid w:val="000E1F11"/>
    <w:rsid w:val="000E219C"/>
    <w:rsid w:val="000E34C9"/>
    <w:rsid w:val="000E426A"/>
    <w:rsid w:val="000E47EF"/>
    <w:rsid w:val="000E5D35"/>
    <w:rsid w:val="000E7E4C"/>
    <w:rsid w:val="000F12A3"/>
    <w:rsid w:val="000F428C"/>
    <w:rsid w:val="00120D8E"/>
    <w:rsid w:val="0014341A"/>
    <w:rsid w:val="00150B4F"/>
    <w:rsid w:val="0015125E"/>
    <w:rsid w:val="00164785"/>
    <w:rsid w:val="001751FA"/>
    <w:rsid w:val="00181500"/>
    <w:rsid w:val="0018739C"/>
    <w:rsid w:val="001933BE"/>
    <w:rsid w:val="00195528"/>
    <w:rsid w:val="00195B42"/>
    <w:rsid w:val="001A0659"/>
    <w:rsid w:val="001A167A"/>
    <w:rsid w:val="001A1739"/>
    <w:rsid w:val="001A300D"/>
    <w:rsid w:val="001A4147"/>
    <w:rsid w:val="001B3BEA"/>
    <w:rsid w:val="001B52A0"/>
    <w:rsid w:val="001C1205"/>
    <w:rsid w:val="001C2D4F"/>
    <w:rsid w:val="001C7B15"/>
    <w:rsid w:val="001D4061"/>
    <w:rsid w:val="001D56CA"/>
    <w:rsid w:val="001E65F5"/>
    <w:rsid w:val="001F1C59"/>
    <w:rsid w:val="001F3E35"/>
    <w:rsid w:val="001F4C40"/>
    <w:rsid w:val="001F57F1"/>
    <w:rsid w:val="002051E1"/>
    <w:rsid w:val="002062B3"/>
    <w:rsid w:val="00206B43"/>
    <w:rsid w:val="00207CD0"/>
    <w:rsid w:val="00212646"/>
    <w:rsid w:val="00214865"/>
    <w:rsid w:val="00216C1A"/>
    <w:rsid w:val="00231E8A"/>
    <w:rsid w:val="002402B5"/>
    <w:rsid w:val="00245502"/>
    <w:rsid w:val="00250027"/>
    <w:rsid w:val="00260953"/>
    <w:rsid w:val="00260B91"/>
    <w:rsid w:val="00260F69"/>
    <w:rsid w:val="00265EF2"/>
    <w:rsid w:val="00266BFA"/>
    <w:rsid w:val="0027086F"/>
    <w:rsid w:val="002717B4"/>
    <w:rsid w:val="002722E4"/>
    <w:rsid w:val="00274625"/>
    <w:rsid w:val="00277C15"/>
    <w:rsid w:val="00284826"/>
    <w:rsid w:val="00297855"/>
    <w:rsid w:val="002A0C50"/>
    <w:rsid w:val="002A70DA"/>
    <w:rsid w:val="002B3569"/>
    <w:rsid w:val="002C0F8C"/>
    <w:rsid w:val="002C10DD"/>
    <w:rsid w:val="002C345C"/>
    <w:rsid w:val="002C6BE9"/>
    <w:rsid w:val="002C7C2D"/>
    <w:rsid w:val="002D7C3A"/>
    <w:rsid w:val="002F002A"/>
    <w:rsid w:val="002F62C8"/>
    <w:rsid w:val="00300299"/>
    <w:rsid w:val="00300B2C"/>
    <w:rsid w:val="00300D97"/>
    <w:rsid w:val="00302085"/>
    <w:rsid w:val="0030287B"/>
    <w:rsid w:val="003162F3"/>
    <w:rsid w:val="00321BD3"/>
    <w:rsid w:val="0032775B"/>
    <w:rsid w:val="003331EC"/>
    <w:rsid w:val="003358E8"/>
    <w:rsid w:val="00336AFC"/>
    <w:rsid w:val="00352661"/>
    <w:rsid w:val="00355408"/>
    <w:rsid w:val="00357CAE"/>
    <w:rsid w:val="00365DF1"/>
    <w:rsid w:val="00365FBD"/>
    <w:rsid w:val="00366761"/>
    <w:rsid w:val="003678CF"/>
    <w:rsid w:val="00373254"/>
    <w:rsid w:val="0037342A"/>
    <w:rsid w:val="003736D5"/>
    <w:rsid w:val="00377259"/>
    <w:rsid w:val="003812BA"/>
    <w:rsid w:val="00392B57"/>
    <w:rsid w:val="003951DC"/>
    <w:rsid w:val="003A013E"/>
    <w:rsid w:val="003A26B5"/>
    <w:rsid w:val="003A5FA3"/>
    <w:rsid w:val="003A788F"/>
    <w:rsid w:val="003B49FE"/>
    <w:rsid w:val="003B4F05"/>
    <w:rsid w:val="003C0610"/>
    <w:rsid w:val="003C097F"/>
    <w:rsid w:val="003C1C0D"/>
    <w:rsid w:val="003C274D"/>
    <w:rsid w:val="003D1518"/>
    <w:rsid w:val="003D20E2"/>
    <w:rsid w:val="003D5EE2"/>
    <w:rsid w:val="003D6CEB"/>
    <w:rsid w:val="003D7216"/>
    <w:rsid w:val="003E3059"/>
    <w:rsid w:val="003E6B66"/>
    <w:rsid w:val="003F7B25"/>
    <w:rsid w:val="004013FD"/>
    <w:rsid w:val="00403F3F"/>
    <w:rsid w:val="00406383"/>
    <w:rsid w:val="004163AD"/>
    <w:rsid w:val="004235BD"/>
    <w:rsid w:val="004239B0"/>
    <w:rsid w:val="00425363"/>
    <w:rsid w:val="00426444"/>
    <w:rsid w:val="00434C13"/>
    <w:rsid w:val="004361FB"/>
    <w:rsid w:val="00437F4B"/>
    <w:rsid w:val="00445D0A"/>
    <w:rsid w:val="004471E4"/>
    <w:rsid w:val="00447467"/>
    <w:rsid w:val="00450CE8"/>
    <w:rsid w:val="004579EE"/>
    <w:rsid w:val="00457E0C"/>
    <w:rsid w:val="00464B95"/>
    <w:rsid w:val="00465A06"/>
    <w:rsid w:val="00471F9F"/>
    <w:rsid w:val="00475B32"/>
    <w:rsid w:val="00480221"/>
    <w:rsid w:val="00482F7C"/>
    <w:rsid w:val="004849F6"/>
    <w:rsid w:val="00485C61"/>
    <w:rsid w:val="00490592"/>
    <w:rsid w:val="00492955"/>
    <w:rsid w:val="00495365"/>
    <w:rsid w:val="0049591D"/>
    <w:rsid w:val="004A0B6A"/>
    <w:rsid w:val="004A6034"/>
    <w:rsid w:val="004A768B"/>
    <w:rsid w:val="004A7F18"/>
    <w:rsid w:val="004B1E6D"/>
    <w:rsid w:val="004B66FD"/>
    <w:rsid w:val="004B6CDB"/>
    <w:rsid w:val="004C0662"/>
    <w:rsid w:val="004C6367"/>
    <w:rsid w:val="004C751A"/>
    <w:rsid w:val="004C7E3D"/>
    <w:rsid w:val="004E0950"/>
    <w:rsid w:val="004E4030"/>
    <w:rsid w:val="004E52C2"/>
    <w:rsid w:val="004E7012"/>
    <w:rsid w:val="004F3359"/>
    <w:rsid w:val="00503CFA"/>
    <w:rsid w:val="00504A76"/>
    <w:rsid w:val="00512627"/>
    <w:rsid w:val="0051419E"/>
    <w:rsid w:val="00515AB5"/>
    <w:rsid w:val="00516794"/>
    <w:rsid w:val="005169E2"/>
    <w:rsid w:val="00523879"/>
    <w:rsid w:val="005238A4"/>
    <w:rsid w:val="0053006A"/>
    <w:rsid w:val="00542DC6"/>
    <w:rsid w:val="005435F5"/>
    <w:rsid w:val="00545E78"/>
    <w:rsid w:val="0055541C"/>
    <w:rsid w:val="00557FDB"/>
    <w:rsid w:val="00562769"/>
    <w:rsid w:val="00563C97"/>
    <w:rsid w:val="005641A5"/>
    <w:rsid w:val="00571528"/>
    <w:rsid w:val="00574399"/>
    <w:rsid w:val="0057632A"/>
    <w:rsid w:val="005827AE"/>
    <w:rsid w:val="0058373C"/>
    <w:rsid w:val="005862E0"/>
    <w:rsid w:val="005870AD"/>
    <w:rsid w:val="00593ACA"/>
    <w:rsid w:val="00596138"/>
    <w:rsid w:val="00596177"/>
    <w:rsid w:val="005A0E50"/>
    <w:rsid w:val="005B03ED"/>
    <w:rsid w:val="005B6BAB"/>
    <w:rsid w:val="005C0670"/>
    <w:rsid w:val="005C2B18"/>
    <w:rsid w:val="005C31C9"/>
    <w:rsid w:val="005C4246"/>
    <w:rsid w:val="005C4D39"/>
    <w:rsid w:val="005C5416"/>
    <w:rsid w:val="005D4964"/>
    <w:rsid w:val="005D7709"/>
    <w:rsid w:val="005E163D"/>
    <w:rsid w:val="005E4274"/>
    <w:rsid w:val="005E51F8"/>
    <w:rsid w:val="005E7014"/>
    <w:rsid w:val="005F1B7A"/>
    <w:rsid w:val="00601594"/>
    <w:rsid w:val="00606668"/>
    <w:rsid w:val="00606FAC"/>
    <w:rsid w:val="00611D04"/>
    <w:rsid w:val="006129C0"/>
    <w:rsid w:val="00614803"/>
    <w:rsid w:val="0061758E"/>
    <w:rsid w:val="00623441"/>
    <w:rsid w:val="00626931"/>
    <w:rsid w:val="00626FED"/>
    <w:rsid w:val="0063430B"/>
    <w:rsid w:val="006347CF"/>
    <w:rsid w:val="00634964"/>
    <w:rsid w:val="00637A4B"/>
    <w:rsid w:val="00642333"/>
    <w:rsid w:val="006428CB"/>
    <w:rsid w:val="00644758"/>
    <w:rsid w:val="006453A9"/>
    <w:rsid w:val="00647FA2"/>
    <w:rsid w:val="006538AC"/>
    <w:rsid w:val="00653E6D"/>
    <w:rsid w:val="006553C6"/>
    <w:rsid w:val="0066127F"/>
    <w:rsid w:val="0066582E"/>
    <w:rsid w:val="00665EA7"/>
    <w:rsid w:val="00667E74"/>
    <w:rsid w:val="00670D2B"/>
    <w:rsid w:val="00674C72"/>
    <w:rsid w:val="00675FAC"/>
    <w:rsid w:val="00684172"/>
    <w:rsid w:val="00685485"/>
    <w:rsid w:val="0069076C"/>
    <w:rsid w:val="00692235"/>
    <w:rsid w:val="0069347C"/>
    <w:rsid w:val="0069394F"/>
    <w:rsid w:val="006A4156"/>
    <w:rsid w:val="006A6C68"/>
    <w:rsid w:val="006A7804"/>
    <w:rsid w:val="006B1538"/>
    <w:rsid w:val="006B25FB"/>
    <w:rsid w:val="006B6152"/>
    <w:rsid w:val="006C39AD"/>
    <w:rsid w:val="006D4351"/>
    <w:rsid w:val="006D6192"/>
    <w:rsid w:val="006E1431"/>
    <w:rsid w:val="006F500A"/>
    <w:rsid w:val="006F5813"/>
    <w:rsid w:val="006F6C28"/>
    <w:rsid w:val="00702BEE"/>
    <w:rsid w:val="00710DA4"/>
    <w:rsid w:val="0071119F"/>
    <w:rsid w:val="007126B1"/>
    <w:rsid w:val="00714F3D"/>
    <w:rsid w:val="0072121D"/>
    <w:rsid w:val="007228D7"/>
    <w:rsid w:val="00727229"/>
    <w:rsid w:val="007330E7"/>
    <w:rsid w:val="007410BD"/>
    <w:rsid w:val="00742C15"/>
    <w:rsid w:val="00753D54"/>
    <w:rsid w:val="00754D8A"/>
    <w:rsid w:val="007633B0"/>
    <w:rsid w:val="0077049A"/>
    <w:rsid w:val="00773776"/>
    <w:rsid w:val="00773B69"/>
    <w:rsid w:val="00773FE3"/>
    <w:rsid w:val="0078409F"/>
    <w:rsid w:val="0078782D"/>
    <w:rsid w:val="00792AE0"/>
    <w:rsid w:val="0079300B"/>
    <w:rsid w:val="00794529"/>
    <w:rsid w:val="007A7AEE"/>
    <w:rsid w:val="007B20D0"/>
    <w:rsid w:val="007B7687"/>
    <w:rsid w:val="007C289B"/>
    <w:rsid w:val="007C5292"/>
    <w:rsid w:val="007D1B1F"/>
    <w:rsid w:val="007D2D0C"/>
    <w:rsid w:val="007D640A"/>
    <w:rsid w:val="007D7E3F"/>
    <w:rsid w:val="007E6D06"/>
    <w:rsid w:val="007E7030"/>
    <w:rsid w:val="007F170B"/>
    <w:rsid w:val="00803306"/>
    <w:rsid w:val="00807042"/>
    <w:rsid w:val="00810E2A"/>
    <w:rsid w:val="0081128E"/>
    <w:rsid w:val="0081162C"/>
    <w:rsid w:val="008171AD"/>
    <w:rsid w:val="00820C17"/>
    <w:rsid w:val="0082138C"/>
    <w:rsid w:val="00832354"/>
    <w:rsid w:val="008402F5"/>
    <w:rsid w:val="00841F91"/>
    <w:rsid w:val="008561EB"/>
    <w:rsid w:val="00857B10"/>
    <w:rsid w:val="0086062E"/>
    <w:rsid w:val="00860757"/>
    <w:rsid w:val="00866B1B"/>
    <w:rsid w:val="0087689D"/>
    <w:rsid w:val="00877622"/>
    <w:rsid w:val="00877709"/>
    <w:rsid w:val="00886482"/>
    <w:rsid w:val="00887511"/>
    <w:rsid w:val="00887601"/>
    <w:rsid w:val="008922CD"/>
    <w:rsid w:val="00893BA7"/>
    <w:rsid w:val="00895A88"/>
    <w:rsid w:val="008A4039"/>
    <w:rsid w:val="008A6B90"/>
    <w:rsid w:val="008A7DA8"/>
    <w:rsid w:val="008B2374"/>
    <w:rsid w:val="008B243D"/>
    <w:rsid w:val="008B5A18"/>
    <w:rsid w:val="008C328B"/>
    <w:rsid w:val="008C3366"/>
    <w:rsid w:val="008C3F03"/>
    <w:rsid w:val="008C4E94"/>
    <w:rsid w:val="008C4FE6"/>
    <w:rsid w:val="008C5B8B"/>
    <w:rsid w:val="008C75CA"/>
    <w:rsid w:val="008D085A"/>
    <w:rsid w:val="008D1A00"/>
    <w:rsid w:val="008D4216"/>
    <w:rsid w:val="008E308F"/>
    <w:rsid w:val="008E34A9"/>
    <w:rsid w:val="008E5494"/>
    <w:rsid w:val="008E7C81"/>
    <w:rsid w:val="008F43D7"/>
    <w:rsid w:val="008F5722"/>
    <w:rsid w:val="00900AEA"/>
    <w:rsid w:val="00901D13"/>
    <w:rsid w:val="00904C00"/>
    <w:rsid w:val="00910AE7"/>
    <w:rsid w:val="00910C36"/>
    <w:rsid w:val="009134C8"/>
    <w:rsid w:val="0091486F"/>
    <w:rsid w:val="009205CF"/>
    <w:rsid w:val="009212C1"/>
    <w:rsid w:val="00925082"/>
    <w:rsid w:val="00933DF2"/>
    <w:rsid w:val="00941A85"/>
    <w:rsid w:val="009441E7"/>
    <w:rsid w:val="00947774"/>
    <w:rsid w:val="00952C17"/>
    <w:rsid w:val="00957E2B"/>
    <w:rsid w:val="00960898"/>
    <w:rsid w:val="00963C8D"/>
    <w:rsid w:val="0096726E"/>
    <w:rsid w:val="00976D54"/>
    <w:rsid w:val="00977434"/>
    <w:rsid w:val="00977A99"/>
    <w:rsid w:val="00982225"/>
    <w:rsid w:val="00984247"/>
    <w:rsid w:val="009933AF"/>
    <w:rsid w:val="00993C76"/>
    <w:rsid w:val="00997AC9"/>
    <w:rsid w:val="009B180E"/>
    <w:rsid w:val="009B273D"/>
    <w:rsid w:val="009B4CC6"/>
    <w:rsid w:val="009B6F60"/>
    <w:rsid w:val="009C6EAF"/>
    <w:rsid w:val="009D3759"/>
    <w:rsid w:val="009D424A"/>
    <w:rsid w:val="009D57C0"/>
    <w:rsid w:val="009D7CFE"/>
    <w:rsid w:val="009E1039"/>
    <w:rsid w:val="009E4690"/>
    <w:rsid w:val="009E6B4A"/>
    <w:rsid w:val="009E7A2B"/>
    <w:rsid w:val="009F1996"/>
    <w:rsid w:val="00A03D7E"/>
    <w:rsid w:val="00A10474"/>
    <w:rsid w:val="00A1711C"/>
    <w:rsid w:val="00A235A2"/>
    <w:rsid w:val="00A25AFB"/>
    <w:rsid w:val="00A34197"/>
    <w:rsid w:val="00A35C38"/>
    <w:rsid w:val="00A37EE7"/>
    <w:rsid w:val="00A42195"/>
    <w:rsid w:val="00A44E74"/>
    <w:rsid w:val="00A507D6"/>
    <w:rsid w:val="00A5370D"/>
    <w:rsid w:val="00A559D2"/>
    <w:rsid w:val="00A61612"/>
    <w:rsid w:val="00A670FB"/>
    <w:rsid w:val="00A673BD"/>
    <w:rsid w:val="00A7243F"/>
    <w:rsid w:val="00A76534"/>
    <w:rsid w:val="00A76B53"/>
    <w:rsid w:val="00A83FF5"/>
    <w:rsid w:val="00A854CA"/>
    <w:rsid w:val="00A856B8"/>
    <w:rsid w:val="00A87043"/>
    <w:rsid w:val="00A92BC4"/>
    <w:rsid w:val="00A94D7D"/>
    <w:rsid w:val="00A97111"/>
    <w:rsid w:val="00AA2AE3"/>
    <w:rsid w:val="00AA37EA"/>
    <w:rsid w:val="00AA5C39"/>
    <w:rsid w:val="00AD002B"/>
    <w:rsid w:val="00AD0168"/>
    <w:rsid w:val="00AD5330"/>
    <w:rsid w:val="00AF1A25"/>
    <w:rsid w:val="00AF6355"/>
    <w:rsid w:val="00B111C2"/>
    <w:rsid w:val="00B11BE7"/>
    <w:rsid w:val="00B16FFA"/>
    <w:rsid w:val="00B20785"/>
    <w:rsid w:val="00B214DC"/>
    <w:rsid w:val="00B22B8F"/>
    <w:rsid w:val="00B22BE3"/>
    <w:rsid w:val="00B25788"/>
    <w:rsid w:val="00B2774F"/>
    <w:rsid w:val="00B3436D"/>
    <w:rsid w:val="00B36CE1"/>
    <w:rsid w:val="00B4419D"/>
    <w:rsid w:val="00B46D3B"/>
    <w:rsid w:val="00B57152"/>
    <w:rsid w:val="00B62F66"/>
    <w:rsid w:val="00B64B05"/>
    <w:rsid w:val="00B7031A"/>
    <w:rsid w:val="00B81615"/>
    <w:rsid w:val="00B82CAF"/>
    <w:rsid w:val="00B858D4"/>
    <w:rsid w:val="00B9150E"/>
    <w:rsid w:val="00B93646"/>
    <w:rsid w:val="00B94758"/>
    <w:rsid w:val="00B97F4E"/>
    <w:rsid w:val="00BA19E2"/>
    <w:rsid w:val="00BA3B0C"/>
    <w:rsid w:val="00BA40F9"/>
    <w:rsid w:val="00BA6040"/>
    <w:rsid w:val="00BB769D"/>
    <w:rsid w:val="00BC2BDD"/>
    <w:rsid w:val="00BC5F20"/>
    <w:rsid w:val="00BC698E"/>
    <w:rsid w:val="00BC6F7F"/>
    <w:rsid w:val="00BC79E7"/>
    <w:rsid w:val="00BC7A73"/>
    <w:rsid w:val="00BD4277"/>
    <w:rsid w:val="00BD4E90"/>
    <w:rsid w:val="00BE0BE1"/>
    <w:rsid w:val="00BE1173"/>
    <w:rsid w:val="00BE51DB"/>
    <w:rsid w:val="00BE69A1"/>
    <w:rsid w:val="00BF58D5"/>
    <w:rsid w:val="00BF7680"/>
    <w:rsid w:val="00BF7906"/>
    <w:rsid w:val="00C150A7"/>
    <w:rsid w:val="00C30123"/>
    <w:rsid w:val="00C3150B"/>
    <w:rsid w:val="00C342CA"/>
    <w:rsid w:val="00C35FA8"/>
    <w:rsid w:val="00C4159C"/>
    <w:rsid w:val="00C43E34"/>
    <w:rsid w:val="00C51DCD"/>
    <w:rsid w:val="00C54718"/>
    <w:rsid w:val="00C55C31"/>
    <w:rsid w:val="00C577A0"/>
    <w:rsid w:val="00C57E12"/>
    <w:rsid w:val="00C6320F"/>
    <w:rsid w:val="00C7189A"/>
    <w:rsid w:val="00C72D0C"/>
    <w:rsid w:val="00C75C35"/>
    <w:rsid w:val="00C76DF6"/>
    <w:rsid w:val="00C81D24"/>
    <w:rsid w:val="00CA487E"/>
    <w:rsid w:val="00CA7656"/>
    <w:rsid w:val="00CD6F7E"/>
    <w:rsid w:val="00CE25D5"/>
    <w:rsid w:val="00CF12F8"/>
    <w:rsid w:val="00CF2123"/>
    <w:rsid w:val="00CF2799"/>
    <w:rsid w:val="00D01D10"/>
    <w:rsid w:val="00D03D74"/>
    <w:rsid w:val="00D132B2"/>
    <w:rsid w:val="00D1413F"/>
    <w:rsid w:val="00D157DF"/>
    <w:rsid w:val="00D15C4D"/>
    <w:rsid w:val="00D204C8"/>
    <w:rsid w:val="00D20C40"/>
    <w:rsid w:val="00D21CB9"/>
    <w:rsid w:val="00D32210"/>
    <w:rsid w:val="00D40328"/>
    <w:rsid w:val="00D416AD"/>
    <w:rsid w:val="00D43313"/>
    <w:rsid w:val="00D4711B"/>
    <w:rsid w:val="00D602FC"/>
    <w:rsid w:val="00D62CD6"/>
    <w:rsid w:val="00D62F55"/>
    <w:rsid w:val="00D64B3E"/>
    <w:rsid w:val="00D767F4"/>
    <w:rsid w:val="00D843A7"/>
    <w:rsid w:val="00D84554"/>
    <w:rsid w:val="00D84B25"/>
    <w:rsid w:val="00D84D56"/>
    <w:rsid w:val="00D90ED9"/>
    <w:rsid w:val="00D9631F"/>
    <w:rsid w:val="00DA68BF"/>
    <w:rsid w:val="00DB1A6A"/>
    <w:rsid w:val="00DB52FF"/>
    <w:rsid w:val="00DC1F92"/>
    <w:rsid w:val="00DC20B0"/>
    <w:rsid w:val="00DC2E5F"/>
    <w:rsid w:val="00DC45C0"/>
    <w:rsid w:val="00DC5D0F"/>
    <w:rsid w:val="00DD1358"/>
    <w:rsid w:val="00DD27D2"/>
    <w:rsid w:val="00DD311F"/>
    <w:rsid w:val="00DE4AB1"/>
    <w:rsid w:val="00DE6E1E"/>
    <w:rsid w:val="00DE7A5D"/>
    <w:rsid w:val="00DF1355"/>
    <w:rsid w:val="00DF4FE0"/>
    <w:rsid w:val="00DF7DA7"/>
    <w:rsid w:val="00E00242"/>
    <w:rsid w:val="00E003C2"/>
    <w:rsid w:val="00E04B9B"/>
    <w:rsid w:val="00E07EA4"/>
    <w:rsid w:val="00E122F8"/>
    <w:rsid w:val="00E16289"/>
    <w:rsid w:val="00E20A39"/>
    <w:rsid w:val="00E20C5A"/>
    <w:rsid w:val="00E23A1C"/>
    <w:rsid w:val="00E42D59"/>
    <w:rsid w:val="00E43D6A"/>
    <w:rsid w:val="00E46BAA"/>
    <w:rsid w:val="00E65398"/>
    <w:rsid w:val="00E76AC0"/>
    <w:rsid w:val="00E83B2D"/>
    <w:rsid w:val="00E855E8"/>
    <w:rsid w:val="00E86854"/>
    <w:rsid w:val="00E87D80"/>
    <w:rsid w:val="00E909C5"/>
    <w:rsid w:val="00E96890"/>
    <w:rsid w:val="00EA1A56"/>
    <w:rsid w:val="00EB099F"/>
    <w:rsid w:val="00EB6468"/>
    <w:rsid w:val="00EB6B56"/>
    <w:rsid w:val="00EB7143"/>
    <w:rsid w:val="00EC5381"/>
    <w:rsid w:val="00EC60D8"/>
    <w:rsid w:val="00EC67E4"/>
    <w:rsid w:val="00ED447C"/>
    <w:rsid w:val="00ED6B5D"/>
    <w:rsid w:val="00EF07A0"/>
    <w:rsid w:val="00EF7354"/>
    <w:rsid w:val="00F01392"/>
    <w:rsid w:val="00F02AD4"/>
    <w:rsid w:val="00F122A3"/>
    <w:rsid w:val="00F12B2F"/>
    <w:rsid w:val="00F14B8C"/>
    <w:rsid w:val="00F24C03"/>
    <w:rsid w:val="00F34F64"/>
    <w:rsid w:val="00F44F3F"/>
    <w:rsid w:val="00F46548"/>
    <w:rsid w:val="00F50518"/>
    <w:rsid w:val="00F5716D"/>
    <w:rsid w:val="00F57AC6"/>
    <w:rsid w:val="00F63852"/>
    <w:rsid w:val="00F63BDB"/>
    <w:rsid w:val="00F63C81"/>
    <w:rsid w:val="00F705A4"/>
    <w:rsid w:val="00F711D8"/>
    <w:rsid w:val="00F74882"/>
    <w:rsid w:val="00F77B85"/>
    <w:rsid w:val="00F81817"/>
    <w:rsid w:val="00F84906"/>
    <w:rsid w:val="00F85DCD"/>
    <w:rsid w:val="00F87701"/>
    <w:rsid w:val="00F87F0E"/>
    <w:rsid w:val="00F90D2D"/>
    <w:rsid w:val="00F92FAF"/>
    <w:rsid w:val="00F96D85"/>
    <w:rsid w:val="00FA65E1"/>
    <w:rsid w:val="00FA7BB7"/>
    <w:rsid w:val="00FB33A1"/>
    <w:rsid w:val="00FC270C"/>
    <w:rsid w:val="00FC468D"/>
    <w:rsid w:val="00FC6472"/>
    <w:rsid w:val="00FD44BC"/>
    <w:rsid w:val="00FE0B11"/>
    <w:rsid w:val="00FE3867"/>
    <w:rsid w:val="00FE47B0"/>
    <w:rsid w:val="00FE47E1"/>
    <w:rsid w:val="00FE50DD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1E39"/>
  <w15:docId w15:val="{3B36B63F-D69D-4317-AC73-593430DA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7E1"/>
  </w:style>
  <w:style w:type="paragraph" w:styleId="Footer">
    <w:name w:val="footer"/>
    <w:basedOn w:val="Normal"/>
    <w:link w:val="FooterChar"/>
    <w:uiPriority w:val="99"/>
    <w:unhideWhenUsed/>
    <w:rsid w:val="00FE4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7E1"/>
  </w:style>
  <w:style w:type="character" w:styleId="CommentReference">
    <w:name w:val="annotation reference"/>
    <w:basedOn w:val="DefaultParagraphFont"/>
    <w:uiPriority w:val="99"/>
    <w:semiHidden/>
    <w:unhideWhenUsed/>
    <w:rsid w:val="00712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6B1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7F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7F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7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PPE\PROJ_BRD\CC_County_FTE\CES_staff\SFY%2021-22\CES_CC_FTE_Analysis\CES%20CC%20FTE%20Analysis%20all%20data%20SFY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PPE\PROJ_BRD\CC_County_FTE\CES_staff\SFY%2021-22\CES_CC_FTE_Analysis\CES%20CC%20FTE%20Analysis%20all%20data%20PVS%20charts%20FY22%20only%20SFY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Full Time Equivalents of Respondents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'PVS FTE table for chart'!$C$1</c:f>
              <c:strCache>
                <c:ptCount val="1"/>
                <c:pt idx="0">
                  <c:v>FY18 FTE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'PVS FTE table for chart'!$B$2:$B$8</c:f>
              <c:strCache>
                <c:ptCount val="7"/>
                <c:pt idx="0">
                  <c:v>Economy</c:v>
                </c:pt>
                <c:pt idx="1">
                  <c:v>Food</c:v>
                </c:pt>
                <c:pt idx="2">
                  <c:v>Environments</c:v>
                </c:pt>
                <c:pt idx="3">
                  <c:v>Communities</c:v>
                </c:pt>
                <c:pt idx="4">
                  <c:v>Workforce</c:v>
                </c:pt>
                <c:pt idx="5">
                  <c:v>Climate-Resilient</c:v>
                </c:pt>
                <c:pt idx="6">
                  <c:v>Equitable Society</c:v>
                </c:pt>
              </c:strCache>
            </c:strRef>
          </c:cat>
          <c:val>
            <c:numRef>
              <c:f>'PVS FTE table for chart'!$C$2:$C$8</c:f>
              <c:numCache>
                <c:formatCode>0.00</c:formatCode>
                <c:ptCount val="7"/>
                <c:pt idx="0">
                  <c:v>5.9249999999999998</c:v>
                </c:pt>
                <c:pt idx="1">
                  <c:v>22.03</c:v>
                </c:pt>
                <c:pt idx="2">
                  <c:v>11.479999999999999</c:v>
                </c:pt>
                <c:pt idx="3">
                  <c:v>52.65</c:v>
                </c:pt>
                <c:pt idx="4">
                  <c:v>17.445</c:v>
                </c:pt>
                <c:pt idx="5">
                  <c:v>1.58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89-48A4-8380-73389AF847A6}"/>
            </c:ext>
          </c:extLst>
        </c:ser>
        <c:ser>
          <c:idx val="1"/>
          <c:order val="1"/>
          <c:tx>
            <c:strRef>
              <c:f>'PVS FTE table for chart'!$D$1</c:f>
              <c:strCache>
                <c:ptCount val="1"/>
                <c:pt idx="0">
                  <c:v>FY19 FTE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'PVS FTE table for chart'!$B$2:$B$8</c:f>
              <c:strCache>
                <c:ptCount val="7"/>
                <c:pt idx="0">
                  <c:v>Economy</c:v>
                </c:pt>
                <c:pt idx="1">
                  <c:v>Food</c:v>
                </c:pt>
                <c:pt idx="2">
                  <c:v>Environments</c:v>
                </c:pt>
                <c:pt idx="3">
                  <c:v>Communities</c:v>
                </c:pt>
                <c:pt idx="4">
                  <c:v>Workforce</c:v>
                </c:pt>
                <c:pt idx="5">
                  <c:v>Climate-Resilient</c:v>
                </c:pt>
                <c:pt idx="6">
                  <c:v>Equitable Society</c:v>
                </c:pt>
              </c:strCache>
            </c:strRef>
          </c:cat>
          <c:val>
            <c:numRef>
              <c:f>'PVS FTE table for chart'!$D$2:$D$8</c:f>
              <c:numCache>
                <c:formatCode>0.00</c:formatCode>
                <c:ptCount val="7"/>
                <c:pt idx="0">
                  <c:v>4.29</c:v>
                </c:pt>
                <c:pt idx="1">
                  <c:v>21.35</c:v>
                </c:pt>
                <c:pt idx="2">
                  <c:v>17.689999999999998</c:v>
                </c:pt>
                <c:pt idx="3">
                  <c:v>46.03</c:v>
                </c:pt>
                <c:pt idx="4">
                  <c:v>12.31</c:v>
                </c:pt>
                <c:pt idx="5">
                  <c:v>1.8</c:v>
                </c:pt>
                <c:pt idx="6">
                  <c:v>1.42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89-48A4-8380-73389AF847A6}"/>
            </c:ext>
          </c:extLst>
        </c:ser>
        <c:ser>
          <c:idx val="2"/>
          <c:order val="2"/>
          <c:tx>
            <c:strRef>
              <c:f>'PVS FTE table for chart'!$E$1</c:f>
              <c:strCache>
                <c:ptCount val="1"/>
                <c:pt idx="0">
                  <c:v>FY20 FTE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'PVS FTE table for chart'!$B$2:$B$8</c:f>
              <c:strCache>
                <c:ptCount val="7"/>
                <c:pt idx="0">
                  <c:v>Economy</c:v>
                </c:pt>
                <c:pt idx="1">
                  <c:v>Food</c:v>
                </c:pt>
                <c:pt idx="2">
                  <c:v>Environments</c:v>
                </c:pt>
                <c:pt idx="3">
                  <c:v>Communities</c:v>
                </c:pt>
                <c:pt idx="4">
                  <c:v>Workforce</c:v>
                </c:pt>
                <c:pt idx="5">
                  <c:v>Climate-Resilient</c:v>
                </c:pt>
                <c:pt idx="6">
                  <c:v>Equitable Society</c:v>
                </c:pt>
              </c:strCache>
            </c:strRef>
          </c:cat>
          <c:val>
            <c:numRef>
              <c:f>'PVS FTE table for chart'!$E$2:$E$8</c:f>
              <c:numCache>
                <c:formatCode>0.00</c:formatCode>
                <c:ptCount val="7"/>
                <c:pt idx="0">
                  <c:v>8.1449999999999996</c:v>
                </c:pt>
                <c:pt idx="1">
                  <c:v>23.454999999999998</c:v>
                </c:pt>
                <c:pt idx="2">
                  <c:v>15.489999999999998</c:v>
                </c:pt>
                <c:pt idx="3">
                  <c:v>60.275000000000006</c:v>
                </c:pt>
                <c:pt idx="4">
                  <c:v>18.574999999999999</c:v>
                </c:pt>
                <c:pt idx="5">
                  <c:v>2.625</c:v>
                </c:pt>
                <c:pt idx="6">
                  <c:v>1.95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89-48A4-8380-73389AF847A6}"/>
            </c:ext>
          </c:extLst>
        </c:ser>
        <c:ser>
          <c:idx val="3"/>
          <c:order val="3"/>
          <c:tx>
            <c:strRef>
              <c:f>'PVS FTE table for chart'!$F$1</c:f>
              <c:strCache>
                <c:ptCount val="1"/>
                <c:pt idx="0">
                  <c:v>FY21 FTE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'PVS FTE table for chart'!$B$2:$B$8</c:f>
              <c:strCache>
                <c:ptCount val="7"/>
                <c:pt idx="0">
                  <c:v>Economy</c:v>
                </c:pt>
                <c:pt idx="1">
                  <c:v>Food</c:v>
                </c:pt>
                <c:pt idx="2">
                  <c:v>Environments</c:v>
                </c:pt>
                <c:pt idx="3">
                  <c:v>Communities</c:v>
                </c:pt>
                <c:pt idx="4">
                  <c:v>Workforce</c:v>
                </c:pt>
                <c:pt idx="5">
                  <c:v>Climate-Resilient</c:v>
                </c:pt>
                <c:pt idx="6">
                  <c:v>Equitable Society</c:v>
                </c:pt>
              </c:strCache>
            </c:strRef>
          </c:cat>
          <c:val>
            <c:numRef>
              <c:f>'PVS FTE table for chart'!$F$2:$F$8</c:f>
              <c:numCache>
                <c:formatCode>0.00</c:formatCode>
                <c:ptCount val="7"/>
                <c:pt idx="0">
                  <c:v>7.9890000000000008</c:v>
                </c:pt>
                <c:pt idx="1">
                  <c:v>22.672499999999999</c:v>
                </c:pt>
                <c:pt idx="2">
                  <c:v>16.7425</c:v>
                </c:pt>
                <c:pt idx="3">
                  <c:v>48.709999999999994</c:v>
                </c:pt>
                <c:pt idx="4">
                  <c:v>14.925999999999998</c:v>
                </c:pt>
                <c:pt idx="5">
                  <c:v>1.1599999999999999</c:v>
                </c:pt>
                <c:pt idx="6">
                  <c:v>1.92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89-48A4-8380-73389AF847A6}"/>
            </c:ext>
          </c:extLst>
        </c:ser>
        <c:ser>
          <c:idx val="4"/>
          <c:order val="4"/>
          <c:tx>
            <c:strRef>
              <c:f>'PVS FTE table for chart'!$G$1</c:f>
              <c:strCache>
                <c:ptCount val="1"/>
                <c:pt idx="0">
                  <c:v>FY22 FTE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'PVS FTE table for chart'!$B$2:$B$8</c:f>
              <c:strCache>
                <c:ptCount val="7"/>
                <c:pt idx="0">
                  <c:v>Economy</c:v>
                </c:pt>
                <c:pt idx="1">
                  <c:v>Food</c:v>
                </c:pt>
                <c:pt idx="2">
                  <c:v>Environments</c:v>
                </c:pt>
                <c:pt idx="3">
                  <c:v>Communities</c:v>
                </c:pt>
                <c:pt idx="4">
                  <c:v>Workforce</c:v>
                </c:pt>
                <c:pt idx="5">
                  <c:v>Climate-Resilient</c:v>
                </c:pt>
                <c:pt idx="6">
                  <c:v>Equitable Society</c:v>
                </c:pt>
              </c:strCache>
            </c:strRef>
          </c:cat>
          <c:val>
            <c:numRef>
              <c:f>'PVS FTE table for chart'!$G$2:$G$8</c:f>
              <c:numCache>
                <c:formatCode>0.00</c:formatCode>
                <c:ptCount val="7"/>
                <c:pt idx="0">
                  <c:v>6.1599999999999993</c:v>
                </c:pt>
                <c:pt idx="1">
                  <c:v>18.032999999999998</c:v>
                </c:pt>
                <c:pt idx="2">
                  <c:v>11.362</c:v>
                </c:pt>
                <c:pt idx="3">
                  <c:v>35.344999999999999</c:v>
                </c:pt>
                <c:pt idx="4">
                  <c:v>7.3450000000000006</c:v>
                </c:pt>
                <c:pt idx="5">
                  <c:v>1.8000000000000003</c:v>
                </c:pt>
                <c:pt idx="6">
                  <c:v>1.21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89-48A4-8380-73389AF84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3660799"/>
        <c:axId val="1343654559"/>
      </c:barChart>
      <c:catAx>
        <c:axId val="1343660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3654559"/>
        <c:crosses val="autoZero"/>
        <c:auto val="1"/>
        <c:lblAlgn val="ctr"/>
        <c:lblOffset val="100"/>
        <c:noMultiLvlLbl val="0"/>
      </c:catAx>
      <c:valAx>
        <c:axId val="1343654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3660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Full Time Equivalents </a:t>
            </a:r>
            <a:r>
              <a:rPr lang="en-US" sz="1400" b="1" i="0" u="none" strike="noStrike" baseline="0">
                <a:effectLst/>
              </a:rPr>
              <a:t>of Respondents SFY22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2391421072365955"/>
          <c:y val="8.7960754341373237E-2"/>
          <c:w val="0.56169538807649055"/>
          <c:h val="0.8875547892856509"/>
        </c:manualLayout>
      </c:layout>
      <c:doughnutChart>
        <c:varyColors val="1"/>
        <c:ser>
          <c:idx val="0"/>
          <c:order val="0"/>
          <c:tx>
            <c:strRef>
              <c:f>'PVS Charts FY22 only'!$B$1</c:f>
              <c:strCache>
                <c:ptCount val="1"/>
                <c:pt idx="0">
                  <c:v>FY22 FTE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47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D8F-4CDD-A7DF-A23450F1DA7E}"/>
              </c:ext>
            </c:extLst>
          </c:dPt>
          <c:dPt>
            <c:idx val="1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D8F-4CDD-A7DF-A23450F1DA7E}"/>
              </c:ext>
            </c:extLst>
          </c:dPt>
          <c:dPt>
            <c:idx val="2"/>
            <c:bubble3D val="0"/>
            <c:spPr>
              <a:solidFill>
                <a:schemeClr val="accent1">
                  <a:shade val="82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D8F-4CDD-A7DF-A23450F1DA7E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D8F-4CDD-A7DF-A23450F1DA7E}"/>
              </c:ext>
            </c:extLst>
          </c:dPt>
          <c:dPt>
            <c:idx val="4"/>
            <c:bubble3D val="0"/>
            <c:spPr>
              <a:solidFill>
                <a:schemeClr val="accent1">
                  <a:tint val="83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AD8F-4CDD-A7DF-A23450F1DA7E}"/>
              </c:ext>
            </c:extLst>
          </c:dPt>
          <c:dPt>
            <c:idx val="5"/>
            <c:bubble3D val="0"/>
            <c:spPr>
              <a:solidFill>
                <a:srgbClr val="7292B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AD8F-4CDD-A7DF-A23450F1DA7E}"/>
              </c:ext>
            </c:extLst>
          </c:dPt>
          <c:dPt>
            <c:idx val="6"/>
            <c:bubble3D val="0"/>
            <c:spPr>
              <a:solidFill>
                <a:schemeClr val="accent1">
                  <a:tint val="48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AD8F-4CDD-A7DF-A23450F1DA7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D33575E-2D2C-4E61-8577-E9392C26DEEA}" type="CATEGORYNAME">
                      <a:rPr lang="en-US">
                        <a:solidFill>
                          <a:schemeClr val="bg1"/>
                        </a:solidFill>
                      </a:rPr>
                      <a:pPr/>
                      <a:t>[CATEGORY NAME]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, </a:t>
                    </a:r>
                    <a:fld id="{9E5777F7-81AD-4D49-BF9A-4C5992538F58}" type="VALUE">
                      <a:rPr lang="en-US" baseline="0">
                        <a:solidFill>
                          <a:schemeClr val="bg1"/>
                        </a:solidFill>
                      </a:rPr>
                      <a:pPr/>
                      <a:t>[VALUE]</a:t>
                    </a:fld>
                    <a:endParaRPr lang="en-US" baseline="0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D8F-4CDD-A7DF-A23450F1DA7E}"/>
                </c:ext>
              </c:extLst>
            </c:dLbl>
            <c:dLbl>
              <c:idx val="5"/>
              <c:layout>
                <c:manualLayout>
                  <c:x val="-0.2"/>
                  <c:y val="-6.92249811888638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D8F-4CDD-A7DF-A23450F1DA7E}"/>
                </c:ext>
              </c:extLst>
            </c:dLbl>
            <c:dLbl>
              <c:idx val="6"/>
              <c:layout>
                <c:manualLayout>
                  <c:x val="-0.17142857142857143"/>
                  <c:y val="-0.111361926260346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D8F-4CDD-A7DF-A23450F1DA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'PVS Charts FY22 only'!$A$2:$A$8</c:f>
              <c:strCache>
                <c:ptCount val="7"/>
                <c:pt idx="0">
                  <c:v>Environments</c:v>
                </c:pt>
                <c:pt idx="1">
                  <c:v>Economy</c:v>
                </c:pt>
                <c:pt idx="2">
                  <c:v>Workforce</c:v>
                </c:pt>
                <c:pt idx="3">
                  <c:v>Communities</c:v>
                </c:pt>
                <c:pt idx="4">
                  <c:v>Food</c:v>
                </c:pt>
                <c:pt idx="5">
                  <c:v>Equitable Society</c:v>
                </c:pt>
                <c:pt idx="6">
                  <c:v>Climate-Resilient</c:v>
                </c:pt>
              </c:strCache>
            </c:strRef>
          </c:cat>
          <c:val>
            <c:numRef>
              <c:f>'PVS Charts FY22 only'!$B$2:$B$8</c:f>
              <c:numCache>
                <c:formatCode>0.00</c:formatCode>
                <c:ptCount val="7"/>
                <c:pt idx="0">
                  <c:v>11.362000000000002</c:v>
                </c:pt>
                <c:pt idx="1">
                  <c:v>6.1599999999999993</c:v>
                </c:pt>
                <c:pt idx="2">
                  <c:v>7.3450000000000006</c:v>
                </c:pt>
                <c:pt idx="3">
                  <c:v>35.344999999999999</c:v>
                </c:pt>
                <c:pt idx="4">
                  <c:v>18.032999999999998</c:v>
                </c:pt>
                <c:pt idx="5">
                  <c:v>1.21</c:v>
                </c:pt>
                <c:pt idx="6">
                  <c:v>1.8000000000000003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D8F-4CDD-A7DF-A23450F1DA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7731-9AA8-49B4-9477-604731BF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10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 Alviz</dc:creator>
  <cp:lastModifiedBy>Christopher Hanson</cp:lastModifiedBy>
  <cp:revision>22</cp:revision>
  <dcterms:created xsi:type="dcterms:W3CDTF">2023-01-27T17:28:00Z</dcterms:created>
  <dcterms:modified xsi:type="dcterms:W3CDTF">2023-02-22T20:37:00Z</dcterms:modified>
</cp:coreProperties>
</file>