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2F6A5" w14:textId="419C6385" w:rsidR="003777D1" w:rsidRPr="002F58EF" w:rsidRDefault="003777D1" w:rsidP="00807752">
      <w:pPr>
        <w:pStyle w:val="Heading1"/>
        <w:spacing w:before="0" w:line="259" w:lineRule="auto"/>
        <w:jc w:val="center"/>
        <w:rPr>
          <w:rFonts w:ascii="Arial" w:hAnsi="Arial" w:cs="Arial"/>
          <w:i/>
          <w:iCs/>
          <w:color w:val="000000" w:themeColor="text1"/>
          <w:sz w:val="32"/>
        </w:rPr>
      </w:pPr>
      <w:r w:rsidRPr="002F58EF">
        <w:rPr>
          <w:rFonts w:ascii="Arial" w:hAnsi="Arial" w:cs="Arial"/>
          <w:color w:val="000000" w:themeColor="text1"/>
          <w:sz w:val="32"/>
        </w:rPr>
        <w:t xml:space="preserve">Dual Transcriptome Analysis Reveals Insights into Innate and Phosphite-Induced Resistance of Tanoak to </w:t>
      </w:r>
      <w:proofErr w:type="spellStart"/>
      <w:r w:rsidRPr="002F58EF">
        <w:rPr>
          <w:rFonts w:ascii="Arial" w:hAnsi="Arial" w:cs="Arial"/>
          <w:i/>
          <w:iCs/>
          <w:color w:val="000000" w:themeColor="text1"/>
          <w:sz w:val="32"/>
        </w:rPr>
        <w:t>Phytophthora</w:t>
      </w:r>
      <w:proofErr w:type="spellEnd"/>
      <w:r w:rsidRPr="002F58EF">
        <w:rPr>
          <w:rFonts w:ascii="Arial" w:hAnsi="Arial" w:cs="Arial"/>
          <w:i/>
          <w:iCs/>
          <w:color w:val="000000" w:themeColor="text1"/>
          <w:sz w:val="32"/>
        </w:rPr>
        <w:t xml:space="preserve"> </w:t>
      </w:r>
      <w:proofErr w:type="spellStart"/>
      <w:r w:rsidRPr="002F58EF">
        <w:rPr>
          <w:rFonts w:ascii="Arial" w:hAnsi="Arial" w:cs="Arial"/>
          <w:i/>
          <w:iCs/>
          <w:color w:val="000000" w:themeColor="text1"/>
          <w:sz w:val="32"/>
        </w:rPr>
        <w:t>ramorum</w:t>
      </w:r>
      <w:proofErr w:type="spellEnd"/>
      <w:r w:rsidR="00EA0DE9">
        <w:rPr>
          <w:rStyle w:val="FootnoteReference"/>
          <w:rFonts w:ascii="Arial" w:hAnsi="Arial" w:cs="Arial"/>
          <w:i/>
          <w:iCs/>
          <w:color w:val="000000" w:themeColor="text1"/>
          <w:sz w:val="32"/>
        </w:rPr>
        <w:footnoteReference w:id="1"/>
      </w:r>
    </w:p>
    <w:p w14:paraId="24F87BB6" w14:textId="77777777" w:rsidR="002F58EF" w:rsidRDefault="002F58EF" w:rsidP="00807752">
      <w:pPr>
        <w:autoSpaceDE w:val="0"/>
        <w:autoSpaceDN w:val="0"/>
        <w:adjustRightInd w:val="0"/>
        <w:spacing w:after="0" w:line="259" w:lineRule="auto"/>
        <w:rPr>
          <w:b/>
          <w:sz w:val="32"/>
          <w:szCs w:val="32"/>
        </w:rPr>
      </w:pPr>
    </w:p>
    <w:p w14:paraId="1E268D8C" w14:textId="77777777" w:rsidR="0023297F" w:rsidRPr="002F58EF" w:rsidRDefault="0023297F" w:rsidP="002D6B45">
      <w:pPr>
        <w:autoSpaceDE w:val="0"/>
        <w:autoSpaceDN w:val="0"/>
        <w:adjustRightInd w:val="0"/>
        <w:spacing w:after="0" w:line="240" w:lineRule="auto"/>
        <w:rPr>
          <w:b/>
          <w:sz w:val="32"/>
          <w:szCs w:val="32"/>
        </w:rPr>
      </w:pPr>
    </w:p>
    <w:p w14:paraId="1D082758" w14:textId="33DBA256" w:rsidR="003777D1" w:rsidRPr="00EA0DE9" w:rsidRDefault="003777D1" w:rsidP="00807752">
      <w:pPr>
        <w:autoSpaceDE w:val="0"/>
        <w:autoSpaceDN w:val="0"/>
        <w:adjustRightInd w:val="0"/>
        <w:spacing w:after="0" w:line="259" w:lineRule="auto"/>
        <w:jc w:val="center"/>
        <w:rPr>
          <w:rFonts w:ascii="Arial" w:hAnsi="Arial" w:cs="Arial"/>
          <w:color w:val="000000" w:themeColor="text1"/>
        </w:rPr>
      </w:pPr>
      <w:r w:rsidRPr="00EA0DE9">
        <w:rPr>
          <w:rFonts w:ascii="Arial" w:hAnsi="Arial" w:cs="Arial"/>
          <w:b/>
          <w:szCs w:val="22"/>
        </w:rPr>
        <w:t>Takao Kasuga</w:t>
      </w:r>
      <w:r w:rsidR="0023297F">
        <w:rPr>
          <w:rFonts w:ascii="Arial" w:hAnsi="Arial" w:cs="Arial"/>
          <w:b/>
          <w:szCs w:val="22"/>
        </w:rPr>
        <w:t>,</w:t>
      </w:r>
      <w:r w:rsidR="00EA0DE9" w:rsidRPr="00F9204F">
        <w:rPr>
          <w:rStyle w:val="FootnoteReference"/>
          <w:rFonts w:ascii="Arial" w:hAnsi="Arial" w:cs="Arial"/>
          <w:b/>
          <w:i/>
          <w:szCs w:val="22"/>
        </w:rPr>
        <w:footnoteReference w:id="2"/>
      </w:r>
      <w:r w:rsidRPr="00F9204F">
        <w:rPr>
          <w:rFonts w:ascii="Arial" w:hAnsi="Arial" w:cs="Arial"/>
          <w:i/>
          <w:szCs w:val="22"/>
        </w:rPr>
        <w:t xml:space="preserve"> </w:t>
      </w:r>
      <w:r w:rsidRPr="00EA0DE9">
        <w:rPr>
          <w:rFonts w:ascii="Arial" w:hAnsi="Arial" w:cs="Arial"/>
          <w:b/>
          <w:szCs w:val="22"/>
        </w:rPr>
        <w:t>Matteo Garbelotto</w:t>
      </w:r>
      <w:r w:rsidR="0023297F">
        <w:rPr>
          <w:rFonts w:ascii="Arial" w:hAnsi="Arial" w:cs="Arial"/>
          <w:b/>
          <w:szCs w:val="22"/>
        </w:rPr>
        <w:t>,</w:t>
      </w:r>
      <w:r w:rsidR="00EA0DE9" w:rsidRPr="00F9204F">
        <w:rPr>
          <w:rStyle w:val="FootnoteReference"/>
          <w:rFonts w:ascii="Arial" w:hAnsi="Arial" w:cs="Arial"/>
          <w:b/>
          <w:i/>
          <w:szCs w:val="22"/>
        </w:rPr>
        <w:footnoteReference w:id="3"/>
      </w:r>
      <w:r w:rsidRPr="00F9204F">
        <w:rPr>
          <w:rFonts w:ascii="Arial" w:hAnsi="Arial" w:cs="Arial"/>
          <w:i/>
          <w:szCs w:val="22"/>
        </w:rPr>
        <w:t xml:space="preserve"> </w:t>
      </w:r>
      <w:r w:rsidRPr="00EA0DE9">
        <w:rPr>
          <w:rFonts w:ascii="Arial" w:hAnsi="Arial" w:cs="Arial"/>
          <w:b/>
          <w:color w:val="000000" w:themeColor="text1"/>
        </w:rPr>
        <w:t>Catherine A</w:t>
      </w:r>
      <w:r w:rsidR="00E93078" w:rsidRPr="00EA0DE9">
        <w:rPr>
          <w:rFonts w:ascii="Arial" w:hAnsi="Arial" w:cs="Arial"/>
          <w:b/>
          <w:color w:val="000000" w:themeColor="text1"/>
        </w:rPr>
        <w:t>.</w:t>
      </w:r>
      <w:r w:rsidRPr="00EA0DE9">
        <w:rPr>
          <w:rFonts w:ascii="Arial" w:hAnsi="Arial" w:cs="Arial"/>
          <w:b/>
          <w:color w:val="000000" w:themeColor="text1"/>
        </w:rPr>
        <w:t xml:space="preserve"> Eyre</w:t>
      </w:r>
      <w:proofErr w:type="gramStart"/>
      <w:r w:rsidRPr="00EA0DE9">
        <w:rPr>
          <w:rFonts w:ascii="Arial" w:hAnsi="Arial" w:cs="Arial"/>
          <w:b/>
          <w:color w:val="000000" w:themeColor="text1"/>
        </w:rPr>
        <w:t>,</w:t>
      </w:r>
      <w:r w:rsidR="00EA0DE9" w:rsidRPr="00F9204F">
        <w:rPr>
          <w:rFonts w:ascii="Arial" w:hAnsi="Arial" w:cs="Arial"/>
          <w:b/>
          <w:i/>
          <w:color w:val="000000" w:themeColor="text1"/>
          <w:vertAlign w:val="superscript"/>
        </w:rPr>
        <w:t>3</w:t>
      </w:r>
      <w:proofErr w:type="gramEnd"/>
      <w:r w:rsidRPr="00EA0DE9">
        <w:rPr>
          <w:rFonts w:ascii="Arial" w:hAnsi="Arial" w:cs="Arial"/>
          <w:b/>
          <w:color w:val="000000" w:themeColor="text1"/>
        </w:rPr>
        <w:t xml:space="preserve"> Peter J. P. Croucher,</w:t>
      </w:r>
      <w:r w:rsidR="00EA0DE9" w:rsidRPr="00F9204F">
        <w:rPr>
          <w:rFonts w:ascii="Arial" w:hAnsi="Arial" w:cs="Arial"/>
          <w:b/>
          <w:i/>
          <w:color w:val="000000" w:themeColor="text1"/>
          <w:vertAlign w:val="superscript"/>
        </w:rPr>
        <w:t>3</w:t>
      </w:r>
      <w:r w:rsidRPr="00EA0DE9">
        <w:rPr>
          <w:rFonts w:ascii="Arial" w:hAnsi="Arial" w:cs="Arial"/>
          <w:b/>
          <w:color w:val="000000" w:themeColor="text1"/>
        </w:rPr>
        <w:t xml:space="preserve"> Shannon Schechter,</w:t>
      </w:r>
      <w:r w:rsidR="00EA0DE9" w:rsidRPr="00F9204F">
        <w:rPr>
          <w:rFonts w:ascii="Arial" w:hAnsi="Arial" w:cs="Arial"/>
          <w:b/>
          <w:i/>
          <w:color w:val="000000" w:themeColor="text1"/>
          <w:vertAlign w:val="superscript"/>
        </w:rPr>
        <w:t>3</w:t>
      </w:r>
      <w:r w:rsidRPr="00EA0DE9">
        <w:rPr>
          <w:rFonts w:ascii="Arial" w:hAnsi="Arial" w:cs="Arial"/>
          <w:b/>
          <w:color w:val="000000" w:themeColor="text1"/>
          <w:vertAlign w:val="superscript"/>
        </w:rPr>
        <w:t xml:space="preserve"> </w:t>
      </w:r>
      <w:r w:rsidR="00536219">
        <w:rPr>
          <w:rFonts w:ascii="Arial" w:hAnsi="Arial" w:cs="Arial"/>
          <w:b/>
          <w:color w:val="000000" w:themeColor="text1"/>
          <w:vertAlign w:val="superscript"/>
        </w:rPr>
        <w:t xml:space="preserve"> </w:t>
      </w:r>
      <w:r w:rsidRPr="00EA0DE9">
        <w:rPr>
          <w:rFonts w:ascii="Arial" w:hAnsi="Arial" w:cs="Arial"/>
          <w:b/>
          <w:color w:val="000000" w:themeColor="text1"/>
        </w:rPr>
        <w:t>Katherine J</w:t>
      </w:r>
      <w:r w:rsidR="00E93078" w:rsidRPr="00EA0DE9">
        <w:rPr>
          <w:rFonts w:ascii="Arial" w:hAnsi="Arial" w:cs="Arial"/>
          <w:b/>
          <w:color w:val="000000" w:themeColor="text1"/>
        </w:rPr>
        <w:t>.</w:t>
      </w:r>
      <w:r w:rsidRPr="00EA0DE9">
        <w:rPr>
          <w:rFonts w:ascii="Arial" w:hAnsi="Arial" w:cs="Arial"/>
          <w:b/>
          <w:color w:val="000000" w:themeColor="text1"/>
        </w:rPr>
        <w:t xml:space="preserve"> Hayden,</w:t>
      </w:r>
      <w:r w:rsidR="00EA0DE9" w:rsidRPr="00F9204F">
        <w:rPr>
          <w:rStyle w:val="FootnoteReference"/>
          <w:rFonts w:ascii="Arial" w:hAnsi="Arial" w:cs="Arial"/>
          <w:b/>
          <w:i/>
          <w:color w:val="000000" w:themeColor="text1"/>
        </w:rPr>
        <w:footnoteReference w:id="4"/>
      </w:r>
      <w:r w:rsidRPr="00F9204F">
        <w:rPr>
          <w:rFonts w:ascii="Arial" w:hAnsi="Arial" w:cs="Arial"/>
          <w:b/>
          <w:i/>
          <w:color w:val="000000" w:themeColor="text1"/>
        </w:rPr>
        <w:t xml:space="preserve"> </w:t>
      </w:r>
      <w:r w:rsidR="005A0B54">
        <w:rPr>
          <w:rFonts w:ascii="Arial" w:hAnsi="Arial" w:cs="Arial"/>
          <w:b/>
          <w:color w:val="000000" w:themeColor="text1"/>
        </w:rPr>
        <w:t xml:space="preserve">and </w:t>
      </w:r>
      <w:r w:rsidRPr="00EA0DE9">
        <w:rPr>
          <w:rFonts w:ascii="Arial" w:hAnsi="Arial" w:cs="Arial"/>
          <w:b/>
          <w:color w:val="000000" w:themeColor="text1"/>
        </w:rPr>
        <w:t>Jessica W</w:t>
      </w:r>
      <w:r w:rsidR="00E93078" w:rsidRPr="00EA0DE9">
        <w:rPr>
          <w:rFonts w:ascii="Arial" w:hAnsi="Arial" w:cs="Arial"/>
          <w:b/>
          <w:color w:val="000000" w:themeColor="text1"/>
        </w:rPr>
        <w:t>.</w:t>
      </w:r>
      <w:r w:rsidRPr="00EA0DE9">
        <w:rPr>
          <w:rFonts w:ascii="Arial" w:hAnsi="Arial" w:cs="Arial"/>
          <w:b/>
          <w:color w:val="000000" w:themeColor="text1"/>
        </w:rPr>
        <w:t xml:space="preserve"> Wright</w:t>
      </w:r>
      <w:r w:rsidR="00EA0DE9" w:rsidRPr="00F9204F">
        <w:rPr>
          <w:rStyle w:val="FootnoteReference"/>
          <w:rFonts w:ascii="Arial" w:hAnsi="Arial" w:cs="Arial"/>
          <w:b/>
          <w:i/>
          <w:color w:val="000000" w:themeColor="text1"/>
        </w:rPr>
        <w:footnoteReference w:id="5"/>
      </w:r>
    </w:p>
    <w:p w14:paraId="2D24CACC" w14:textId="6DCB532E" w:rsidR="003777D1" w:rsidRDefault="003777D1" w:rsidP="0023297F">
      <w:pPr>
        <w:autoSpaceDE w:val="0"/>
        <w:autoSpaceDN w:val="0"/>
        <w:adjustRightInd w:val="0"/>
        <w:jc w:val="center"/>
        <w:rPr>
          <w:color w:val="000000" w:themeColor="text1"/>
        </w:rPr>
      </w:pPr>
    </w:p>
    <w:p w14:paraId="4810FB7E" w14:textId="4E8CDD20" w:rsidR="0023297F" w:rsidRPr="0023297F" w:rsidRDefault="0023297F" w:rsidP="0023297F">
      <w:pPr>
        <w:autoSpaceDE w:val="0"/>
        <w:autoSpaceDN w:val="0"/>
        <w:adjustRightInd w:val="0"/>
        <w:jc w:val="center"/>
        <w:rPr>
          <w:rFonts w:ascii="Arial" w:hAnsi="Arial" w:cs="Arial"/>
          <w:b/>
          <w:color w:val="000000" w:themeColor="text1"/>
        </w:rPr>
      </w:pPr>
      <w:r w:rsidRPr="0023297F">
        <w:rPr>
          <w:rFonts w:ascii="Arial" w:hAnsi="Arial" w:cs="Arial"/>
          <w:b/>
          <w:color w:val="000000" w:themeColor="text1"/>
        </w:rPr>
        <w:t xml:space="preserve">Abstract </w:t>
      </w:r>
    </w:p>
    <w:p w14:paraId="1354136A" w14:textId="64530CF1" w:rsidR="003777D1" w:rsidRPr="00FF7146" w:rsidRDefault="003777D1" w:rsidP="002D6B45">
      <w:pPr>
        <w:spacing w:line="259" w:lineRule="auto"/>
        <w:rPr>
          <w:color w:val="000000" w:themeColor="text1"/>
          <w:szCs w:val="24"/>
          <w:lang w:val="en-US"/>
        </w:rPr>
      </w:pPr>
      <w:r w:rsidRPr="00FF7146">
        <w:rPr>
          <w:color w:val="000000" w:themeColor="text1"/>
          <w:szCs w:val="24"/>
          <w:lang w:val="en-US"/>
        </w:rPr>
        <w:t>Phosphites have been used in the control of sudden oak death, however, the precise mode of action of these compounds is not fully understood. In order to study the action of phosphites in the context of naturally occurring host resistance, we designed an inoculation experiment on four open-pollinated tanoak families, previously defined as partially resistant. Stems of treatment-individuals were sprayed with phosphite, and 7 days later</w:t>
      </w:r>
      <w:r w:rsidR="002F58EF">
        <w:rPr>
          <w:color w:val="000000" w:themeColor="text1"/>
          <w:szCs w:val="24"/>
          <w:lang w:val="en-US"/>
        </w:rPr>
        <w:t>,</w:t>
      </w:r>
      <w:r w:rsidRPr="00FF7146">
        <w:rPr>
          <w:color w:val="000000" w:themeColor="text1"/>
          <w:szCs w:val="24"/>
          <w:lang w:val="en-US"/>
        </w:rPr>
        <w:t xml:space="preserve"> distal leaves were inoculated with the sudden oak death pathogen</w:t>
      </w:r>
      <w:r w:rsidR="00E93078">
        <w:rPr>
          <w:color w:val="000000" w:themeColor="text1"/>
          <w:szCs w:val="24"/>
          <w:lang w:val="en-US"/>
        </w:rPr>
        <w:t>,</w:t>
      </w:r>
      <w:r w:rsidRPr="00FF7146">
        <w:rPr>
          <w:color w:val="000000" w:themeColor="text1"/>
          <w:szCs w:val="24"/>
          <w:lang w:val="en-US"/>
        </w:rPr>
        <w:t xml:space="preserve"> </w:t>
      </w:r>
      <w:r w:rsidRPr="00FF7146">
        <w:rPr>
          <w:i/>
          <w:color w:val="000000" w:themeColor="text1"/>
          <w:szCs w:val="24"/>
          <w:lang w:val="en-US"/>
        </w:rPr>
        <w:t>Phytophthora ramorum</w:t>
      </w:r>
      <w:r w:rsidRPr="00FF7146">
        <w:rPr>
          <w:color w:val="000000" w:themeColor="text1"/>
          <w:szCs w:val="24"/>
          <w:lang w:val="en-US"/>
        </w:rPr>
        <w:t xml:space="preserve">. Leaves from treated and untreated control plants were harvested for RNA extraction before and </w:t>
      </w:r>
      <w:r w:rsidR="002F58EF">
        <w:rPr>
          <w:color w:val="000000" w:themeColor="text1"/>
          <w:szCs w:val="24"/>
          <w:lang w:val="en-US"/>
        </w:rPr>
        <w:t>7</w:t>
      </w:r>
      <w:r w:rsidR="002F58EF" w:rsidRPr="00FF7146">
        <w:rPr>
          <w:color w:val="000000" w:themeColor="text1"/>
          <w:szCs w:val="24"/>
          <w:lang w:val="en-US"/>
        </w:rPr>
        <w:t xml:space="preserve"> </w:t>
      </w:r>
      <w:r w:rsidRPr="00FF7146">
        <w:rPr>
          <w:color w:val="000000" w:themeColor="text1"/>
          <w:szCs w:val="24"/>
          <w:lang w:val="en-US"/>
        </w:rPr>
        <w:t>days after inoculation, and transcriptomes of both host and pathogen were analyzed.</w:t>
      </w:r>
      <w:r w:rsidR="005A0B54">
        <w:rPr>
          <w:color w:val="000000" w:themeColor="text1"/>
          <w:szCs w:val="24"/>
          <w:lang w:val="en-US"/>
        </w:rPr>
        <w:t xml:space="preserve"> </w:t>
      </w:r>
      <w:r w:rsidRPr="00FF7146">
        <w:rPr>
          <w:color w:val="000000" w:themeColor="text1"/>
          <w:szCs w:val="24"/>
          <w:lang w:val="en-US"/>
        </w:rPr>
        <w:t xml:space="preserve">We found that tanoak families differed in the presence of innate resistance and in the response to phosphite treatment. Sets of genes associated with innate resistance and with phosphite-induced resistance showed little overlap among tree families. However, sets of genes associated with innate resistance and with phosphite-induced resistance largely overlapped within a more susceptible but phosphite-treatment responsive tanoak family, supporting the hypothesis that phosphite treatment increases the resistance of susceptible host plants to </w:t>
      </w:r>
      <w:r w:rsidRPr="00FF7146">
        <w:rPr>
          <w:i/>
          <w:color w:val="000000" w:themeColor="text1"/>
          <w:szCs w:val="24"/>
          <w:lang w:val="en-US"/>
        </w:rPr>
        <w:t>Phytophthora</w:t>
      </w:r>
      <w:r w:rsidRPr="00FF7146">
        <w:rPr>
          <w:color w:val="000000" w:themeColor="text1"/>
          <w:szCs w:val="24"/>
          <w:lang w:val="en-US"/>
        </w:rPr>
        <w:t xml:space="preserve"> infection. In addition, our dual RNA-Seq enabled us to monitor gene regulation of the pathogen </w:t>
      </w:r>
      <w:r w:rsidRPr="00FF7146">
        <w:rPr>
          <w:i/>
          <w:color w:val="000000" w:themeColor="text1"/>
          <w:szCs w:val="24"/>
          <w:lang w:val="en-US"/>
        </w:rPr>
        <w:t>in planta</w:t>
      </w:r>
      <w:r w:rsidRPr="00FF7146">
        <w:rPr>
          <w:color w:val="000000" w:themeColor="text1"/>
          <w:szCs w:val="24"/>
          <w:lang w:val="en-US"/>
        </w:rPr>
        <w:t xml:space="preserve">. Genes for energy generation such as those in the TCA cycle and genes for amino acid membrane transporters were upregulated, whereas elicitin genes were downregulated when comparing genic expression of </w:t>
      </w:r>
      <w:r w:rsidRPr="00FF7146">
        <w:rPr>
          <w:i/>
          <w:color w:val="000000" w:themeColor="text1"/>
          <w:szCs w:val="24"/>
          <w:lang w:val="en-US"/>
        </w:rPr>
        <w:t>P. ramorum</w:t>
      </w:r>
      <w:r w:rsidRPr="00FF7146">
        <w:rPr>
          <w:color w:val="000000" w:themeColor="text1"/>
          <w:szCs w:val="24"/>
          <w:lang w:val="en-US"/>
        </w:rPr>
        <w:t xml:space="preserve"> in tanoak leaves relative to genic expression of </w:t>
      </w:r>
      <w:r w:rsidRPr="00FF7146">
        <w:rPr>
          <w:i/>
          <w:color w:val="000000" w:themeColor="text1"/>
          <w:szCs w:val="24"/>
          <w:lang w:val="en-US"/>
        </w:rPr>
        <w:t xml:space="preserve">P. </w:t>
      </w:r>
      <w:proofErr w:type="spellStart"/>
      <w:r w:rsidRPr="00FF7146">
        <w:rPr>
          <w:i/>
          <w:color w:val="000000" w:themeColor="text1"/>
          <w:szCs w:val="24"/>
          <w:lang w:val="en-US"/>
        </w:rPr>
        <w:t>ramorum</w:t>
      </w:r>
      <w:proofErr w:type="spellEnd"/>
      <w:r w:rsidRPr="00FF7146">
        <w:rPr>
          <w:color w:val="000000" w:themeColor="text1"/>
          <w:szCs w:val="24"/>
          <w:lang w:val="en-US"/>
        </w:rPr>
        <w:t xml:space="preserve"> mycelium in culture. We also found that genes of the pathogen involved in detoxification, such as ATP-binding cassette (ABC) transporters and vitamin B</w:t>
      </w:r>
      <w:r w:rsidRPr="00FF7146">
        <w:rPr>
          <w:color w:val="000000" w:themeColor="text1"/>
          <w:szCs w:val="24"/>
          <w:vertAlign w:val="subscript"/>
          <w:lang w:val="en-US"/>
        </w:rPr>
        <w:t>6</w:t>
      </w:r>
      <w:r w:rsidRPr="00FF7146">
        <w:rPr>
          <w:color w:val="000000" w:themeColor="text1"/>
          <w:szCs w:val="24"/>
          <w:lang w:val="en-US"/>
        </w:rPr>
        <w:t xml:space="preserve"> biosynthesis genes, were upregulated in phosphite-treated plants, but not in untreated plants.</w:t>
      </w:r>
      <w:bookmarkStart w:id="0" w:name="_GoBack"/>
      <w:bookmarkEnd w:id="0"/>
      <w:r w:rsidRPr="00FF7146">
        <w:rPr>
          <w:color w:val="000000" w:themeColor="text1"/>
          <w:szCs w:val="24"/>
          <w:lang w:val="en-US"/>
        </w:rPr>
        <w:t xml:space="preserve"> Upregulation of these genes has been observed for axenic culture of </w:t>
      </w:r>
      <w:r w:rsidRPr="00FF7146">
        <w:rPr>
          <w:i/>
          <w:color w:val="000000" w:themeColor="text1"/>
          <w:szCs w:val="24"/>
          <w:lang w:val="en-US"/>
        </w:rPr>
        <w:t>P. cinnamomi</w:t>
      </w:r>
      <w:r w:rsidRPr="00FF7146">
        <w:rPr>
          <w:color w:val="000000" w:themeColor="text1"/>
          <w:szCs w:val="24"/>
          <w:lang w:val="en-US"/>
        </w:rPr>
        <w:t xml:space="preserve"> in the presence of phosphite, indicating these genes responded to the direct toxicity of </w:t>
      </w:r>
      <w:proofErr w:type="spellStart"/>
      <w:r w:rsidRPr="00FF7146">
        <w:rPr>
          <w:color w:val="000000" w:themeColor="text1"/>
          <w:szCs w:val="24"/>
          <w:lang w:val="en-US"/>
        </w:rPr>
        <w:t>phosphite</w:t>
      </w:r>
      <w:proofErr w:type="spellEnd"/>
      <w:r w:rsidRPr="00FF7146">
        <w:rPr>
          <w:color w:val="000000" w:themeColor="text1"/>
          <w:szCs w:val="24"/>
          <w:lang w:val="en-US"/>
        </w:rPr>
        <w:t xml:space="preserve">. In summary, our dual RNA-Seq supports a dual mode of action of phosphite compounds, including a direct toxic effect on </w:t>
      </w:r>
      <w:r w:rsidRPr="00FF7146">
        <w:rPr>
          <w:i/>
          <w:color w:val="000000" w:themeColor="text1"/>
          <w:szCs w:val="24"/>
          <w:lang w:val="en-US"/>
        </w:rPr>
        <w:t>P. ramorum</w:t>
      </w:r>
      <w:r w:rsidRPr="00FF7146">
        <w:rPr>
          <w:color w:val="000000" w:themeColor="text1"/>
          <w:szCs w:val="24"/>
          <w:lang w:val="en-US"/>
        </w:rPr>
        <w:t xml:space="preserve"> and an indirect enhancement of resistance in the tanoak host.</w:t>
      </w:r>
    </w:p>
    <w:sectPr w:rsidR="003777D1" w:rsidRPr="00FF7146" w:rsidSect="000E53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F2605" w14:textId="77777777" w:rsidR="00D26034" w:rsidRDefault="00D26034" w:rsidP="00EA0DE9">
      <w:pPr>
        <w:spacing w:after="0" w:line="240" w:lineRule="auto"/>
      </w:pPr>
      <w:r>
        <w:separator/>
      </w:r>
    </w:p>
  </w:endnote>
  <w:endnote w:type="continuationSeparator" w:id="0">
    <w:p w14:paraId="58FB1F19" w14:textId="77777777" w:rsidR="00D26034" w:rsidRDefault="00D26034" w:rsidP="00EA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BCF59" w14:textId="77777777" w:rsidR="00807752" w:rsidRDefault="00807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F5DD" w14:textId="77777777" w:rsidR="00807752" w:rsidRDefault="008077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73815" w14:textId="77777777" w:rsidR="00807752" w:rsidRDefault="00807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16388" w14:textId="77777777" w:rsidR="00D26034" w:rsidRDefault="00D26034" w:rsidP="00EA0DE9">
      <w:pPr>
        <w:spacing w:after="0" w:line="240" w:lineRule="auto"/>
      </w:pPr>
      <w:r>
        <w:separator/>
      </w:r>
    </w:p>
  </w:footnote>
  <w:footnote w:type="continuationSeparator" w:id="0">
    <w:p w14:paraId="5E1C74F2" w14:textId="77777777" w:rsidR="00D26034" w:rsidRDefault="00D26034" w:rsidP="00EA0DE9">
      <w:pPr>
        <w:spacing w:after="0" w:line="240" w:lineRule="auto"/>
      </w:pPr>
      <w:r>
        <w:continuationSeparator/>
      </w:r>
    </w:p>
  </w:footnote>
  <w:footnote w:id="1">
    <w:p w14:paraId="27A2C23B" w14:textId="596D1CAE" w:rsidR="00EA0DE9" w:rsidRPr="00EA0DE9" w:rsidRDefault="00EA0DE9">
      <w:pPr>
        <w:pStyle w:val="FootnoteText"/>
        <w:rPr>
          <w:lang w:val="en-US"/>
        </w:rPr>
      </w:pPr>
      <w:r w:rsidRPr="00F9204F">
        <w:rPr>
          <w:rStyle w:val="FootnoteReference"/>
          <w:i/>
        </w:rPr>
        <w:footnoteRef/>
      </w:r>
      <w:r>
        <w:t xml:space="preserve"> </w:t>
      </w:r>
      <w:r w:rsidRPr="00EA0DE9">
        <w:rPr>
          <w:rFonts w:eastAsiaTheme="minorHAnsi"/>
          <w:lang w:val="en-US"/>
        </w:rPr>
        <w:t>A version of the paper was presented at the Seventh Sudden Oak Death Science and Management Symposium, June 25-27, 2019, San Francisco, California.</w:t>
      </w:r>
    </w:p>
  </w:footnote>
  <w:footnote w:id="2">
    <w:p w14:paraId="60778A4A" w14:textId="644D229C" w:rsidR="00EA0DE9" w:rsidRPr="00EA0DE9" w:rsidRDefault="00EA0DE9">
      <w:pPr>
        <w:pStyle w:val="FootnoteText"/>
        <w:rPr>
          <w:lang w:val="en-US"/>
        </w:rPr>
      </w:pPr>
      <w:r w:rsidRPr="00F9204F">
        <w:rPr>
          <w:rStyle w:val="FootnoteReference"/>
          <w:i/>
        </w:rPr>
        <w:footnoteRef/>
      </w:r>
      <w:r w:rsidRPr="00F9204F">
        <w:rPr>
          <w:i/>
        </w:rPr>
        <w:t xml:space="preserve"> </w:t>
      </w:r>
      <w:r w:rsidRPr="00711F99">
        <w:rPr>
          <w:szCs w:val="22"/>
        </w:rPr>
        <w:t>USDA A</w:t>
      </w:r>
      <w:r>
        <w:rPr>
          <w:szCs w:val="22"/>
        </w:rPr>
        <w:t xml:space="preserve">gricultural </w:t>
      </w:r>
      <w:r w:rsidRPr="00711F99">
        <w:rPr>
          <w:szCs w:val="22"/>
        </w:rPr>
        <w:t>R</w:t>
      </w:r>
      <w:r>
        <w:rPr>
          <w:szCs w:val="22"/>
        </w:rPr>
        <w:t xml:space="preserve">esearch </w:t>
      </w:r>
      <w:r w:rsidRPr="00711F99">
        <w:rPr>
          <w:szCs w:val="22"/>
        </w:rPr>
        <w:t>S</w:t>
      </w:r>
      <w:r>
        <w:rPr>
          <w:szCs w:val="22"/>
        </w:rPr>
        <w:t>ervice</w:t>
      </w:r>
      <w:r w:rsidRPr="00711F99">
        <w:rPr>
          <w:szCs w:val="22"/>
        </w:rPr>
        <w:t>, Davis, CA</w:t>
      </w:r>
      <w:r>
        <w:rPr>
          <w:szCs w:val="22"/>
        </w:rPr>
        <w:t xml:space="preserve"> </w:t>
      </w:r>
      <w:r w:rsidRPr="00EA0DE9">
        <w:rPr>
          <w:szCs w:val="22"/>
        </w:rPr>
        <w:t>95616</w:t>
      </w:r>
      <w:r>
        <w:rPr>
          <w:szCs w:val="22"/>
        </w:rPr>
        <w:t xml:space="preserve">. </w:t>
      </w:r>
    </w:p>
  </w:footnote>
  <w:footnote w:id="3">
    <w:p w14:paraId="30810BFE" w14:textId="59EF32D0" w:rsidR="00EA0DE9" w:rsidRPr="00EA0DE9" w:rsidRDefault="00EA0DE9">
      <w:pPr>
        <w:pStyle w:val="FootnoteText"/>
        <w:rPr>
          <w:lang w:val="en-US"/>
        </w:rPr>
      </w:pPr>
      <w:r w:rsidRPr="00F9204F">
        <w:rPr>
          <w:rStyle w:val="FootnoteReference"/>
          <w:i/>
        </w:rPr>
        <w:footnoteRef/>
      </w:r>
      <w:r>
        <w:t xml:space="preserve"> </w:t>
      </w:r>
      <w:r w:rsidRPr="00EA0DE9">
        <w:t>Forest Pathology and Mycology Laboratory</w:t>
      </w:r>
      <w:r>
        <w:t>,</w:t>
      </w:r>
      <w:r w:rsidRPr="00EA0DE9">
        <w:t xml:space="preserve"> University of California, Berkeley</w:t>
      </w:r>
      <w:r>
        <w:t>, CA 94720.</w:t>
      </w:r>
    </w:p>
  </w:footnote>
  <w:footnote w:id="4">
    <w:p w14:paraId="17E85CE8" w14:textId="21109B78" w:rsidR="00EA0DE9" w:rsidRPr="00EA0DE9" w:rsidRDefault="00EA0DE9">
      <w:pPr>
        <w:pStyle w:val="FootnoteText"/>
        <w:rPr>
          <w:lang w:val="en-US"/>
        </w:rPr>
      </w:pPr>
      <w:r w:rsidRPr="00F9204F">
        <w:rPr>
          <w:rStyle w:val="FootnoteReference"/>
          <w:i/>
        </w:rPr>
        <w:footnoteRef/>
      </w:r>
      <w:r>
        <w:t xml:space="preserve"> </w:t>
      </w:r>
      <w:r w:rsidRPr="00EA0DE9">
        <w:t>Royal Botanic Garden Edinburgh, Scotland, UK EH3 5NZ</w:t>
      </w:r>
      <w:r>
        <w:t xml:space="preserve">. </w:t>
      </w:r>
    </w:p>
  </w:footnote>
  <w:footnote w:id="5">
    <w:p w14:paraId="1FB53B4C" w14:textId="3F7B7363" w:rsidR="00EA0DE9" w:rsidRDefault="00EA0DE9">
      <w:pPr>
        <w:pStyle w:val="FootnoteText"/>
      </w:pPr>
      <w:r w:rsidRPr="00F9204F">
        <w:rPr>
          <w:rStyle w:val="FootnoteReference"/>
          <w:i/>
        </w:rPr>
        <w:footnoteRef/>
      </w:r>
      <w:r w:rsidRPr="00F9204F">
        <w:rPr>
          <w:i/>
        </w:rPr>
        <w:t xml:space="preserve"> </w:t>
      </w:r>
      <w:r w:rsidRPr="00EA0DE9">
        <w:t>USDA Forest Service, Pacific Southwest Research Station, Davis, CA</w:t>
      </w:r>
      <w:r>
        <w:t xml:space="preserve"> </w:t>
      </w:r>
      <w:r w:rsidRPr="00EA0DE9">
        <w:t>95618</w:t>
      </w:r>
      <w:r>
        <w:t>.</w:t>
      </w:r>
      <w:r w:rsidRPr="00EA0DE9">
        <w:t xml:space="preserve">  </w:t>
      </w:r>
    </w:p>
    <w:p w14:paraId="50958940" w14:textId="0582890F" w:rsidR="00EA0DE9" w:rsidRPr="00EA0DE9" w:rsidRDefault="00EA0DE9">
      <w:pPr>
        <w:pStyle w:val="FootnoteText"/>
        <w:rPr>
          <w:lang w:val="en-US"/>
        </w:rPr>
      </w:pPr>
      <w:r w:rsidRPr="00EA0DE9">
        <w:rPr>
          <w:lang w:val="en-US"/>
        </w:rPr>
        <w:t>Corresponding author:</w:t>
      </w:r>
      <w:r>
        <w:rPr>
          <w:lang w:val="en-US"/>
        </w:rPr>
        <w:t xml:space="preserve"> T Kasuga, </w:t>
      </w:r>
      <w:hyperlink r:id="rId1" w:history="1">
        <w:r w:rsidRPr="005A0B54">
          <w:rPr>
            <w:rStyle w:val="Hyperlink"/>
            <w:color w:val="auto"/>
            <w:szCs w:val="22"/>
            <w:u w:val="none"/>
          </w:rPr>
          <w:t>tkasuga@ucdavis.edu</w:t>
        </w:r>
      </w:hyperlink>
      <w:r w:rsidRPr="005A0B54">
        <w:rPr>
          <w:rStyle w:val="Hyperlink"/>
          <w:color w:val="auto"/>
          <w:szCs w:val="22"/>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8E31D" w14:textId="77777777" w:rsidR="00807752" w:rsidRDefault="00807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EDE83" w14:textId="77777777" w:rsidR="00EA0DE9" w:rsidRPr="00EA0DE9" w:rsidRDefault="00EA0DE9" w:rsidP="00807752">
    <w:pPr>
      <w:tabs>
        <w:tab w:val="center" w:pos="4680"/>
        <w:tab w:val="right" w:pos="9360"/>
      </w:tabs>
      <w:suppressAutoHyphens w:val="0"/>
      <w:spacing w:after="0" w:line="240" w:lineRule="auto"/>
      <w:jc w:val="center"/>
      <w:rPr>
        <w:rFonts w:asciiTheme="minorHAnsi" w:eastAsiaTheme="minorHAnsi" w:hAnsiTheme="minorHAnsi" w:cstheme="minorBidi"/>
        <w:i/>
        <w:szCs w:val="24"/>
        <w:lang w:val="en-US"/>
      </w:rPr>
    </w:pPr>
    <w:r w:rsidRPr="00EA0DE9">
      <w:rPr>
        <w:rFonts w:asciiTheme="minorHAnsi" w:eastAsiaTheme="minorHAnsi" w:hAnsiTheme="minorHAnsi" w:cstheme="minorBidi"/>
        <w:i/>
        <w:szCs w:val="24"/>
        <w:lang w:val="en-US"/>
      </w:rPr>
      <w:t>Proceedings of the Seventh Sudden Oak Death Science and Management Symposium</w:t>
    </w:r>
  </w:p>
  <w:p w14:paraId="23A87910" w14:textId="77777777" w:rsidR="00EA0DE9" w:rsidRDefault="00EA0D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02A34" w14:textId="77777777" w:rsidR="00807752" w:rsidRDefault="00807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D1"/>
    <w:rsid w:val="000371D1"/>
    <w:rsid w:val="000376B3"/>
    <w:rsid w:val="00055552"/>
    <w:rsid w:val="00073A8F"/>
    <w:rsid w:val="00090BF5"/>
    <w:rsid w:val="000A0F7D"/>
    <w:rsid w:val="000A14C3"/>
    <w:rsid w:val="000B49BD"/>
    <w:rsid w:val="000D67CE"/>
    <w:rsid w:val="000E420D"/>
    <w:rsid w:val="000E53ED"/>
    <w:rsid w:val="000F6793"/>
    <w:rsid w:val="0011734A"/>
    <w:rsid w:val="001439D5"/>
    <w:rsid w:val="00146B5E"/>
    <w:rsid w:val="00147F7B"/>
    <w:rsid w:val="00153DBF"/>
    <w:rsid w:val="001629F7"/>
    <w:rsid w:val="00173794"/>
    <w:rsid w:val="001A4840"/>
    <w:rsid w:val="001C3B01"/>
    <w:rsid w:val="001D6322"/>
    <w:rsid w:val="001F7339"/>
    <w:rsid w:val="002046A7"/>
    <w:rsid w:val="0021647A"/>
    <w:rsid w:val="00225816"/>
    <w:rsid w:val="0023297F"/>
    <w:rsid w:val="0024443F"/>
    <w:rsid w:val="002642EB"/>
    <w:rsid w:val="00271531"/>
    <w:rsid w:val="00274206"/>
    <w:rsid w:val="0029294F"/>
    <w:rsid w:val="0029703D"/>
    <w:rsid w:val="002B4D52"/>
    <w:rsid w:val="002D3EFF"/>
    <w:rsid w:val="002D6B45"/>
    <w:rsid w:val="002F58EF"/>
    <w:rsid w:val="002F64EA"/>
    <w:rsid w:val="0030045E"/>
    <w:rsid w:val="00316867"/>
    <w:rsid w:val="003263D4"/>
    <w:rsid w:val="003319B8"/>
    <w:rsid w:val="00346121"/>
    <w:rsid w:val="00375B01"/>
    <w:rsid w:val="003777D1"/>
    <w:rsid w:val="00382C67"/>
    <w:rsid w:val="00385878"/>
    <w:rsid w:val="00387062"/>
    <w:rsid w:val="0039409F"/>
    <w:rsid w:val="003A3910"/>
    <w:rsid w:val="003B2084"/>
    <w:rsid w:val="003B559F"/>
    <w:rsid w:val="003D2181"/>
    <w:rsid w:val="003D7F48"/>
    <w:rsid w:val="003F0059"/>
    <w:rsid w:val="004303D9"/>
    <w:rsid w:val="00493C34"/>
    <w:rsid w:val="004B540F"/>
    <w:rsid w:val="004B7E60"/>
    <w:rsid w:val="004C7B84"/>
    <w:rsid w:val="004F3F30"/>
    <w:rsid w:val="005004AC"/>
    <w:rsid w:val="00520E43"/>
    <w:rsid w:val="00523D53"/>
    <w:rsid w:val="00536219"/>
    <w:rsid w:val="00537539"/>
    <w:rsid w:val="00553A67"/>
    <w:rsid w:val="005579DE"/>
    <w:rsid w:val="005A0B54"/>
    <w:rsid w:val="005C4ABB"/>
    <w:rsid w:val="005E266C"/>
    <w:rsid w:val="005E67D3"/>
    <w:rsid w:val="005F4C23"/>
    <w:rsid w:val="005F569E"/>
    <w:rsid w:val="00604921"/>
    <w:rsid w:val="00607986"/>
    <w:rsid w:val="0064712F"/>
    <w:rsid w:val="00662873"/>
    <w:rsid w:val="00680840"/>
    <w:rsid w:val="00683B12"/>
    <w:rsid w:val="006A1650"/>
    <w:rsid w:val="006C0431"/>
    <w:rsid w:val="006C625E"/>
    <w:rsid w:val="006D3438"/>
    <w:rsid w:val="006E5586"/>
    <w:rsid w:val="00705195"/>
    <w:rsid w:val="0071783C"/>
    <w:rsid w:val="00741796"/>
    <w:rsid w:val="007804EF"/>
    <w:rsid w:val="00781A42"/>
    <w:rsid w:val="007948AC"/>
    <w:rsid w:val="007A1402"/>
    <w:rsid w:val="007A3A5B"/>
    <w:rsid w:val="007A5B76"/>
    <w:rsid w:val="007D31B0"/>
    <w:rsid w:val="007D4C76"/>
    <w:rsid w:val="007F3CDC"/>
    <w:rsid w:val="007F79CF"/>
    <w:rsid w:val="00807752"/>
    <w:rsid w:val="0082215C"/>
    <w:rsid w:val="00881539"/>
    <w:rsid w:val="00883033"/>
    <w:rsid w:val="008C43E0"/>
    <w:rsid w:val="008E4373"/>
    <w:rsid w:val="00910AA4"/>
    <w:rsid w:val="0093057B"/>
    <w:rsid w:val="00934944"/>
    <w:rsid w:val="00940935"/>
    <w:rsid w:val="009468C4"/>
    <w:rsid w:val="00952E8F"/>
    <w:rsid w:val="00955933"/>
    <w:rsid w:val="00966DD3"/>
    <w:rsid w:val="009745B2"/>
    <w:rsid w:val="009766B7"/>
    <w:rsid w:val="00977F3C"/>
    <w:rsid w:val="00987D9A"/>
    <w:rsid w:val="00990D17"/>
    <w:rsid w:val="009A0311"/>
    <w:rsid w:val="009C4CCC"/>
    <w:rsid w:val="009F67D1"/>
    <w:rsid w:val="00A004E4"/>
    <w:rsid w:val="00A01AA1"/>
    <w:rsid w:val="00A05A57"/>
    <w:rsid w:val="00A1040A"/>
    <w:rsid w:val="00A13448"/>
    <w:rsid w:val="00A41AA4"/>
    <w:rsid w:val="00A55827"/>
    <w:rsid w:val="00AA42FF"/>
    <w:rsid w:val="00AA6D89"/>
    <w:rsid w:val="00AB2C48"/>
    <w:rsid w:val="00AB7AF6"/>
    <w:rsid w:val="00AE39C9"/>
    <w:rsid w:val="00B00EA7"/>
    <w:rsid w:val="00B110A0"/>
    <w:rsid w:val="00B25238"/>
    <w:rsid w:val="00B43A70"/>
    <w:rsid w:val="00B81FF0"/>
    <w:rsid w:val="00BA417B"/>
    <w:rsid w:val="00BE034C"/>
    <w:rsid w:val="00BF560E"/>
    <w:rsid w:val="00C51540"/>
    <w:rsid w:val="00C542DA"/>
    <w:rsid w:val="00C672D7"/>
    <w:rsid w:val="00C87B71"/>
    <w:rsid w:val="00CA35DA"/>
    <w:rsid w:val="00CA6C02"/>
    <w:rsid w:val="00CB2B6D"/>
    <w:rsid w:val="00CC2CEC"/>
    <w:rsid w:val="00CE1F44"/>
    <w:rsid w:val="00CF4415"/>
    <w:rsid w:val="00D0274B"/>
    <w:rsid w:val="00D1030C"/>
    <w:rsid w:val="00D17317"/>
    <w:rsid w:val="00D26034"/>
    <w:rsid w:val="00D60179"/>
    <w:rsid w:val="00D739A2"/>
    <w:rsid w:val="00DD77AF"/>
    <w:rsid w:val="00E05D85"/>
    <w:rsid w:val="00E20CDA"/>
    <w:rsid w:val="00E35553"/>
    <w:rsid w:val="00E41F7A"/>
    <w:rsid w:val="00E56CBA"/>
    <w:rsid w:val="00E60C02"/>
    <w:rsid w:val="00E93078"/>
    <w:rsid w:val="00EA0DE9"/>
    <w:rsid w:val="00EC36EC"/>
    <w:rsid w:val="00EC480F"/>
    <w:rsid w:val="00EE5851"/>
    <w:rsid w:val="00EF1D52"/>
    <w:rsid w:val="00F057A0"/>
    <w:rsid w:val="00F25A3C"/>
    <w:rsid w:val="00F3722A"/>
    <w:rsid w:val="00F54BDF"/>
    <w:rsid w:val="00F76763"/>
    <w:rsid w:val="00F9204F"/>
    <w:rsid w:val="00F9394F"/>
    <w:rsid w:val="00FD0F49"/>
    <w:rsid w:val="00FD638A"/>
    <w:rsid w:val="00FE0358"/>
    <w:rsid w:val="00FE2A3C"/>
    <w:rsid w:val="00FF2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F930"/>
  <w15:chartTrackingRefBased/>
  <w15:docId w15:val="{022BFCA9-9B01-6A45-9A5F-3958F912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D1"/>
    <w:pPr>
      <w:suppressAutoHyphens/>
      <w:spacing w:after="160" w:line="360" w:lineRule="auto"/>
    </w:pPr>
    <w:rPr>
      <w:rFonts w:ascii="Times New Roman" w:eastAsia="Times New Roman" w:hAnsi="Times New Roman" w:cs="Times New Roman"/>
      <w:szCs w:val="20"/>
      <w:lang w:val="en-GB" w:eastAsia="en-US"/>
    </w:rPr>
  </w:style>
  <w:style w:type="paragraph" w:styleId="Heading1">
    <w:name w:val="heading 1"/>
    <w:basedOn w:val="Normal"/>
    <w:next w:val="Normal"/>
    <w:link w:val="Heading1Char"/>
    <w:uiPriority w:val="9"/>
    <w:qFormat/>
    <w:rsid w:val="003777D1"/>
    <w:pPr>
      <w:keepNext/>
      <w:keepLines/>
      <w:spacing w:before="480" w:after="0"/>
      <w:outlineLvl w:val="0"/>
    </w:pPr>
    <w:rPr>
      <w:rFonts w:eastAsiaTheme="majorEastAsia" w:cstheme="majorBidi"/>
      <w:b/>
      <w:bCs/>
      <w:color w:val="2D4F8E" w:themeColor="accent1" w:themeShade="B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E8F"/>
    <w:pPr>
      <w:suppressAutoHyphens w:val="0"/>
      <w:spacing w:after="0" w:line="240" w:lineRule="auto"/>
    </w:pPr>
    <w:rPr>
      <w:rFonts w:eastAsiaTheme="minorEastAsia"/>
      <w:sz w:val="18"/>
      <w:szCs w:val="18"/>
      <w:lang w:val="en-US" w:eastAsia="ja-JP"/>
    </w:rPr>
  </w:style>
  <w:style w:type="character" w:customStyle="1" w:styleId="BalloonTextChar">
    <w:name w:val="Balloon Text Char"/>
    <w:basedOn w:val="DefaultParagraphFont"/>
    <w:link w:val="BalloonText"/>
    <w:uiPriority w:val="99"/>
    <w:semiHidden/>
    <w:rsid w:val="00952E8F"/>
    <w:rPr>
      <w:rFonts w:ascii="Times New Roman" w:hAnsi="Times New Roman" w:cs="Times New Roman"/>
      <w:sz w:val="18"/>
      <w:szCs w:val="18"/>
    </w:rPr>
  </w:style>
  <w:style w:type="character" w:customStyle="1" w:styleId="Heading1Char">
    <w:name w:val="Heading 1 Char"/>
    <w:basedOn w:val="DefaultParagraphFont"/>
    <w:link w:val="Heading1"/>
    <w:uiPriority w:val="9"/>
    <w:rsid w:val="003777D1"/>
    <w:rPr>
      <w:rFonts w:ascii="Times New Roman" w:eastAsiaTheme="majorEastAsia" w:hAnsi="Times New Roman" w:cstheme="majorBidi"/>
      <w:b/>
      <w:bCs/>
      <w:color w:val="2D4F8E" w:themeColor="accent1" w:themeShade="B5"/>
      <w:szCs w:val="32"/>
      <w:lang w:val="en-GB" w:eastAsia="en-US"/>
    </w:rPr>
  </w:style>
  <w:style w:type="character" w:styleId="Hyperlink">
    <w:name w:val="Hyperlink"/>
    <w:basedOn w:val="DefaultParagraphFont"/>
    <w:uiPriority w:val="99"/>
    <w:unhideWhenUsed/>
    <w:rsid w:val="003777D1"/>
    <w:rPr>
      <w:color w:val="0563C1" w:themeColor="hyperlink"/>
      <w:u w:val="single"/>
    </w:rPr>
  </w:style>
  <w:style w:type="paragraph" w:styleId="Header">
    <w:name w:val="header"/>
    <w:basedOn w:val="Normal"/>
    <w:link w:val="HeaderChar"/>
    <w:uiPriority w:val="99"/>
    <w:unhideWhenUsed/>
    <w:rsid w:val="00EA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E9"/>
    <w:rPr>
      <w:rFonts w:ascii="Times New Roman" w:eastAsia="Times New Roman" w:hAnsi="Times New Roman" w:cs="Times New Roman"/>
      <w:szCs w:val="20"/>
      <w:lang w:val="en-GB" w:eastAsia="en-US"/>
    </w:rPr>
  </w:style>
  <w:style w:type="paragraph" w:styleId="Footer">
    <w:name w:val="footer"/>
    <w:basedOn w:val="Normal"/>
    <w:link w:val="FooterChar"/>
    <w:uiPriority w:val="99"/>
    <w:unhideWhenUsed/>
    <w:rsid w:val="00EA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DE9"/>
    <w:rPr>
      <w:rFonts w:ascii="Times New Roman" w:eastAsia="Times New Roman" w:hAnsi="Times New Roman" w:cs="Times New Roman"/>
      <w:szCs w:val="20"/>
      <w:lang w:val="en-GB" w:eastAsia="en-US"/>
    </w:rPr>
  </w:style>
  <w:style w:type="paragraph" w:styleId="FootnoteText">
    <w:name w:val="footnote text"/>
    <w:basedOn w:val="Normal"/>
    <w:link w:val="FootnoteTextChar"/>
    <w:uiPriority w:val="99"/>
    <w:semiHidden/>
    <w:unhideWhenUsed/>
    <w:rsid w:val="00EA0DE9"/>
    <w:pPr>
      <w:spacing w:after="0" w:line="240" w:lineRule="auto"/>
    </w:pPr>
    <w:rPr>
      <w:sz w:val="20"/>
    </w:rPr>
  </w:style>
  <w:style w:type="character" w:customStyle="1" w:styleId="FootnoteTextChar">
    <w:name w:val="Footnote Text Char"/>
    <w:basedOn w:val="DefaultParagraphFont"/>
    <w:link w:val="FootnoteText"/>
    <w:uiPriority w:val="99"/>
    <w:semiHidden/>
    <w:rsid w:val="00EA0DE9"/>
    <w:rPr>
      <w:rFonts w:ascii="Times New Roman" w:eastAsia="Times New Roman" w:hAnsi="Times New Roman" w:cs="Times New Roman"/>
      <w:sz w:val="20"/>
      <w:szCs w:val="20"/>
      <w:lang w:val="en-GB" w:eastAsia="en-US"/>
    </w:rPr>
  </w:style>
  <w:style w:type="character" w:styleId="FootnoteReference">
    <w:name w:val="footnote reference"/>
    <w:basedOn w:val="DefaultParagraphFont"/>
    <w:uiPriority w:val="99"/>
    <w:semiHidden/>
    <w:unhideWhenUsed/>
    <w:rsid w:val="00EA0D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tkasuga@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Takao Kasuga</dc:creator>
  <cp:keywords/>
  <dc:description/>
  <cp:lastModifiedBy>Frankel, Susan -FS</cp:lastModifiedBy>
  <cp:revision>8</cp:revision>
  <dcterms:created xsi:type="dcterms:W3CDTF">2020-02-04T23:39:00Z</dcterms:created>
  <dcterms:modified xsi:type="dcterms:W3CDTF">2020-02-11T19:23:00Z</dcterms:modified>
</cp:coreProperties>
</file>