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424B" w14:textId="71AEC703" w:rsidR="008946A8" w:rsidRDefault="003B1566" w:rsidP="00EE4961">
      <w:pPr>
        <w:autoSpaceDE w:val="0"/>
        <w:autoSpaceDN w:val="0"/>
        <w:adjustRightInd w:val="0"/>
        <w:spacing w:line="259" w:lineRule="auto"/>
        <w:jc w:val="center"/>
        <w:rPr>
          <w:rFonts w:ascii="Arial" w:hAnsi="Arial" w:cs="Arial"/>
          <w:b/>
          <w:sz w:val="32"/>
          <w:szCs w:val="32"/>
        </w:rPr>
      </w:pPr>
      <w:r w:rsidRPr="00EE4961">
        <w:rPr>
          <w:rFonts w:ascii="Arial" w:hAnsi="Arial" w:cs="Arial"/>
          <w:b/>
          <w:sz w:val="32"/>
          <w:szCs w:val="32"/>
        </w:rPr>
        <w:t xml:space="preserve">Comparative </w:t>
      </w:r>
      <w:r w:rsidR="00387EA7" w:rsidRPr="00EE4961">
        <w:rPr>
          <w:rFonts w:ascii="Arial" w:hAnsi="Arial" w:cs="Arial"/>
          <w:b/>
          <w:sz w:val="32"/>
          <w:szCs w:val="32"/>
        </w:rPr>
        <w:t>E</w:t>
      </w:r>
      <w:r w:rsidRPr="00EE4961">
        <w:rPr>
          <w:rFonts w:ascii="Arial" w:hAnsi="Arial" w:cs="Arial"/>
          <w:b/>
          <w:sz w:val="32"/>
          <w:szCs w:val="32"/>
        </w:rPr>
        <w:t xml:space="preserve">pidemiology of NA1 and EU1 </w:t>
      </w:r>
      <w:r w:rsidRPr="00EE4961">
        <w:rPr>
          <w:rFonts w:ascii="Arial" w:hAnsi="Arial" w:cs="Arial"/>
          <w:b/>
          <w:sz w:val="32"/>
          <w:szCs w:val="32"/>
        </w:rPr>
        <w:br/>
      </w:r>
      <w:r w:rsidRPr="00EE4961">
        <w:rPr>
          <w:rFonts w:ascii="Arial" w:hAnsi="Arial" w:cs="Arial"/>
          <w:b/>
          <w:i/>
          <w:iCs/>
          <w:sz w:val="32"/>
          <w:szCs w:val="32"/>
        </w:rPr>
        <w:t>P</w:t>
      </w:r>
      <w:r w:rsidR="00032F76" w:rsidRPr="00EE4961">
        <w:rPr>
          <w:rFonts w:ascii="Arial" w:hAnsi="Arial" w:cs="Arial"/>
          <w:b/>
          <w:i/>
          <w:iCs/>
          <w:sz w:val="32"/>
          <w:szCs w:val="32"/>
        </w:rPr>
        <w:t>hytophthora</w:t>
      </w:r>
      <w:r w:rsidRPr="00EE4961">
        <w:rPr>
          <w:rFonts w:ascii="Arial" w:hAnsi="Arial" w:cs="Arial"/>
          <w:b/>
          <w:i/>
          <w:iCs/>
          <w:sz w:val="32"/>
          <w:szCs w:val="32"/>
        </w:rPr>
        <w:t xml:space="preserve"> ramorum</w:t>
      </w:r>
      <w:r w:rsidRPr="00EE4961">
        <w:rPr>
          <w:rFonts w:ascii="Arial" w:hAnsi="Arial" w:cs="Arial"/>
          <w:b/>
          <w:sz w:val="32"/>
          <w:szCs w:val="32"/>
        </w:rPr>
        <w:t xml:space="preserve"> </w:t>
      </w:r>
      <w:r w:rsidR="00565495" w:rsidRPr="00EE4961">
        <w:rPr>
          <w:rFonts w:ascii="Arial" w:hAnsi="Arial" w:cs="Arial"/>
          <w:b/>
          <w:sz w:val="32"/>
          <w:szCs w:val="32"/>
        </w:rPr>
        <w:t>Isolates</w:t>
      </w:r>
      <w:r w:rsidRPr="00EE4961">
        <w:rPr>
          <w:rFonts w:ascii="Arial" w:hAnsi="Arial" w:cs="Arial"/>
          <w:b/>
          <w:sz w:val="32"/>
          <w:szCs w:val="32"/>
        </w:rPr>
        <w:t xml:space="preserve"> </w:t>
      </w:r>
      <w:r w:rsidR="00565495" w:rsidRPr="00EE4961">
        <w:rPr>
          <w:rFonts w:ascii="Arial" w:hAnsi="Arial" w:cs="Arial"/>
          <w:b/>
          <w:sz w:val="32"/>
          <w:szCs w:val="32"/>
        </w:rPr>
        <w:t>from</w:t>
      </w:r>
      <w:r w:rsidR="00387EA7" w:rsidRPr="00EE4961">
        <w:rPr>
          <w:rFonts w:ascii="Arial" w:hAnsi="Arial" w:cs="Arial"/>
          <w:b/>
          <w:sz w:val="32"/>
          <w:szCs w:val="32"/>
        </w:rPr>
        <w:t xml:space="preserve"> </w:t>
      </w:r>
      <w:r w:rsidRPr="00EE4961">
        <w:rPr>
          <w:rFonts w:ascii="Arial" w:hAnsi="Arial" w:cs="Arial"/>
          <w:b/>
          <w:sz w:val="32"/>
          <w:szCs w:val="32"/>
        </w:rPr>
        <w:t>Curry County, OR</w:t>
      </w:r>
      <w:r w:rsidR="00E5334F" w:rsidRPr="00EE4961">
        <w:rPr>
          <w:rStyle w:val="FootnoteReference"/>
          <w:rFonts w:ascii="Arial" w:hAnsi="Arial" w:cs="Arial"/>
          <w:b/>
          <w:i/>
          <w:sz w:val="36"/>
          <w:szCs w:val="36"/>
        </w:rPr>
        <w:footnoteReference w:id="1"/>
      </w:r>
    </w:p>
    <w:p w14:paraId="6442CB3E" w14:textId="77777777" w:rsidR="00EE4961" w:rsidRPr="00EE4961" w:rsidRDefault="00EE4961" w:rsidP="00EE4961">
      <w:pPr>
        <w:autoSpaceDE w:val="0"/>
        <w:autoSpaceDN w:val="0"/>
        <w:adjustRightInd w:val="0"/>
        <w:spacing w:line="259" w:lineRule="auto"/>
        <w:jc w:val="center"/>
        <w:rPr>
          <w:rFonts w:ascii="Arial" w:hAnsi="Arial" w:cs="Arial"/>
          <w:b/>
        </w:rPr>
      </w:pPr>
    </w:p>
    <w:p w14:paraId="0D24C196" w14:textId="77777777" w:rsidR="00EE4961" w:rsidRPr="00EE4961" w:rsidRDefault="00EE4961" w:rsidP="00EE4961">
      <w:pPr>
        <w:autoSpaceDE w:val="0"/>
        <w:autoSpaceDN w:val="0"/>
        <w:adjustRightInd w:val="0"/>
        <w:spacing w:line="259" w:lineRule="auto"/>
        <w:jc w:val="center"/>
        <w:rPr>
          <w:rFonts w:ascii="Arial" w:hAnsi="Arial" w:cs="Arial"/>
          <w:b/>
        </w:rPr>
      </w:pPr>
    </w:p>
    <w:p w14:paraId="5A8015BA" w14:textId="6231979C" w:rsidR="008946A8" w:rsidRPr="00E5334F" w:rsidRDefault="00BA5A4E" w:rsidP="00EE4961">
      <w:pPr>
        <w:autoSpaceDE w:val="0"/>
        <w:autoSpaceDN w:val="0"/>
        <w:adjustRightInd w:val="0"/>
        <w:spacing w:line="259" w:lineRule="auto"/>
        <w:jc w:val="center"/>
        <w:rPr>
          <w:rFonts w:ascii="Arial" w:hAnsi="Arial" w:cs="Arial"/>
          <w:b/>
        </w:rPr>
      </w:pPr>
      <w:r w:rsidRPr="00E5334F">
        <w:rPr>
          <w:rFonts w:ascii="Arial" w:hAnsi="Arial" w:cs="Arial"/>
          <w:b/>
        </w:rPr>
        <w:t>Ebba Peterson</w:t>
      </w:r>
      <w:proofErr w:type="gramStart"/>
      <w:r w:rsidR="00E5334F" w:rsidRPr="00E5334F">
        <w:rPr>
          <w:rFonts w:ascii="Arial" w:hAnsi="Arial" w:cs="Arial"/>
          <w:b/>
        </w:rPr>
        <w:t>,</w:t>
      </w:r>
      <w:r w:rsidR="00E5334F" w:rsidRPr="00EE4961">
        <w:rPr>
          <w:rFonts w:ascii="Arial" w:hAnsi="Arial" w:cs="Arial"/>
          <w:b/>
          <w:i/>
          <w:vertAlign w:val="superscript"/>
        </w:rPr>
        <w:t>2</w:t>
      </w:r>
      <w:proofErr w:type="gramEnd"/>
      <w:r w:rsidRPr="00E5334F">
        <w:rPr>
          <w:rFonts w:ascii="Arial" w:hAnsi="Arial" w:cs="Arial"/>
          <w:b/>
        </w:rPr>
        <w:t xml:space="preserve"> </w:t>
      </w:r>
      <w:r w:rsidR="008946A8" w:rsidRPr="00E5334F">
        <w:rPr>
          <w:rFonts w:ascii="Arial" w:hAnsi="Arial" w:cs="Arial"/>
          <w:b/>
        </w:rPr>
        <w:t>Jennifer Parke</w:t>
      </w:r>
      <w:r w:rsidR="00E5334F" w:rsidRPr="00E5334F">
        <w:rPr>
          <w:rFonts w:ascii="Arial" w:hAnsi="Arial" w:cs="Arial"/>
          <w:b/>
        </w:rPr>
        <w:t>,</w:t>
      </w:r>
      <w:r w:rsidR="00E5334F" w:rsidRPr="00EE4961">
        <w:rPr>
          <w:rFonts w:ascii="Arial" w:hAnsi="Arial" w:cs="Arial"/>
          <w:b/>
          <w:i/>
          <w:vertAlign w:val="superscript"/>
        </w:rPr>
        <w:t>2,3</w:t>
      </w:r>
      <w:r w:rsidR="00E5334F" w:rsidRPr="00E5334F">
        <w:rPr>
          <w:rFonts w:ascii="Arial" w:hAnsi="Arial" w:cs="Arial"/>
          <w:b/>
        </w:rPr>
        <w:t xml:space="preserve"> and </w:t>
      </w:r>
      <w:r w:rsidR="00225B8B" w:rsidRPr="00E5334F">
        <w:rPr>
          <w:rFonts w:ascii="Arial" w:hAnsi="Arial" w:cs="Arial"/>
          <w:b/>
        </w:rPr>
        <w:t>Sarah Navarro</w:t>
      </w:r>
      <w:r w:rsidR="00E5334F" w:rsidRPr="00EE4961">
        <w:rPr>
          <w:rFonts w:ascii="Arial" w:hAnsi="Arial" w:cs="Arial"/>
          <w:b/>
          <w:i/>
          <w:vertAlign w:val="superscript"/>
        </w:rPr>
        <w:t>4</w:t>
      </w:r>
    </w:p>
    <w:p w14:paraId="7ECE778E" w14:textId="77777777" w:rsidR="008946A8" w:rsidRPr="00E5334F" w:rsidRDefault="008946A8" w:rsidP="00EE4961">
      <w:pPr>
        <w:autoSpaceDE w:val="0"/>
        <w:autoSpaceDN w:val="0"/>
        <w:adjustRightInd w:val="0"/>
        <w:spacing w:line="259" w:lineRule="auto"/>
        <w:rPr>
          <w:sz w:val="22"/>
        </w:rPr>
      </w:pPr>
    </w:p>
    <w:p w14:paraId="1B412F71" w14:textId="77777777" w:rsidR="00387EA7" w:rsidRDefault="00387EA7" w:rsidP="00EE4961">
      <w:pPr>
        <w:autoSpaceDE w:val="0"/>
        <w:autoSpaceDN w:val="0"/>
        <w:adjustRightInd w:val="0"/>
        <w:spacing w:line="259" w:lineRule="auto"/>
        <w:rPr>
          <w:sz w:val="22"/>
        </w:rPr>
      </w:pPr>
    </w:p>
    <w:p w14:paraId="56233EFA" w14:textId="2133F276" w:rsidR="00EE4961" w:rsidRPr="00EE4961" w:rsidRDefault="00EE4961" w:rsidP="00EE4961">
      <w:pPr>
        <w:autoSpaceDE w:val="0"/>
        <w:autoSpaceDN w:val="0"/>
        <w:adjustRightInd w:val="0"/>
        <w:spacing w:after="240" w:line="259" w:lineRule="auto"/>
        <w:jc w:val="center"/>
        <w:rPr>
          <w:rFonts w:ascii="Arial" w:hAnsi="Arial" w:cs="Arial"/>
          <w:b/>
        </w:rPr>
      </w:pPr>
      <w:r w:rsidRPr="00EE4961">
        <w:rPr>
          <w:rFonts w:ascii="Arial" w:hAnsi="Arial" w:cs="Arial"/>
          <w:b/>
        </w:rPr>
        <w:t>Abstract</w:t>
      </w:r>
    </w:p>
    <w:p w14:paraId="56706A08" w14:textId="69747ED2" w:rsidR="003665A6" w:rsidRPr="003665A6" w:rsidRDefault="00422E7C" w:rsidP="00A4325A">
      <w:pPr>
        <w:spacing w:line="259" w:lineRule="auto"/>
      </w:pPr>
      <w:r w:rsidRPr="00D70853">
        <w:t xml:space="preserve">The 2015 detection of the </w:t>
      </w:r>
      <w:r w:rsidRPr="00D70853">
        <w:rPr>
          <w:i/>
          <w:iCs/>
        </w:rPr>
        <w:t>Phytophthora ramorum</w:t>
      </w:r>
      <w:r w:rsidRPr="00D70853">
        <w:t xml:space="preserve"> EU1 lineage in Oregon forests poses a new threat </w:t>
      </w:r>
      <w:bookmarkStart w:id="0" w:name="_GoBack"/>
      <w:r w:rsidRPr="00D70853">
        <w:t>to sudden oak death management in Curry County. EU1 may be more aggressive and spread at a faster rate than has been observed for NA1 over the 17 years it has been managed in Oregon forests</w:t>
      </w:r>
      <w:r w:rsidR="00607023" w:rsidRPr="00D70853">
        <w:t>.</w:t>
      </w:r>
      <w:r w:rsidRPr="00D70853">
        <w:t xml:space="preserve"> EU1 may also infect </w:t>
      </w:r>
      <w:r w:rsidRPr="003665A6">
        <w:t>some hosts</w:t>
      </w:r>
      <w:bookmarkEnd w:id="0"/>
      <w:r w:rsidRPr="003665A6">
        <w:t>, notably conifers, at a greater frequency.</w:t>
      </w:r>
      <w:r w:rsidR="003665A6" w:rsidRPr="003665A6">
        <w:t xml:space="preserve"> To assess any additional risk posed by EU1, we performed field surveys assessing the distribution and frequency of understory infection surrounding SOD-infested trees. We also conducted laboratory assays testing for epidemiologically relevant differences between Curry County NA1 and EU1 isolates.</w:t>
      </w:r>
      <w:r w:rsidRPr="003665A6">
        <w:t xml:space="preserve"> </w:t>
      </w:r>
    </w:p>
    <w:p w14:paraId="7945F366" w14:textId="77777777" w:rsidR="003665A6" w:rsidRPr="003665A6" w:rsidRDefault="003665A6" w:rsidP="00A4325A">
      <w:pPr>
        <w:spacing w:line="259" w:lineRule="auto"/>
      </w:pPr>
    </w:p>
    <w:p w14:paraId="3C53783A" w14:textId="1D429F36" w:rsidR="003665A6" w:rsidRPr="003665A6" w:rsidRDefault="003665A6" w:rsidP="00A4325A">
      <w:pPr>
        <w:tabs>
          <w:tab w:val="num" w:pos="720"/>
        </w:tabs>
        <w:autoSpaceDE w:val="0"/>
        <w:autoSpaceDN w:val="0"/>
        <w:adjustRightInd w:val="0"/>
        <w:spacing w:line="259" w:lineRule="auto"/>
        <w:jc w:val="both"/>
      </w:pPr>
      <w:r w:rsidRPr="003665A6">
        <w:t>To determine if the EU1-infested sites were larger upon detection, or if EU1 was infecting hosts at a greater rate, we established transects 20 m uphill, downhill and perpendicular to a confirmed, SOD-infected tanoak tree presumed to be the primary inoculum source contributing to understory infection at a site (7 sites per lineage). In 5</w:t>
      </w:r>
      <w:r w:rsidR="00604375">
        <w:t xml:space="preserve"> </w:t>
      </w:r>
      <w:r w:rsidRPr="003665A6">
        <w:t>m</w:t>
      </w:r>
      <w:r w:rsidRPr="003665A6">
        <w:rPr>
          <w:vertAlign w:val="superscript"/>
        </w:rPr>
        <w:t>2</w:t>
      </w:r>
      <w:r w:rsidRPr="003665A6">
        <w:t xml:space="preserve"> blocks we recorded the presence of understory hosts and collected samples for plating in selective media to confirm infection by </w:t>
      </w:r>
      <w:r w:rsidRPr="003665A6">
        <w:rPr>
          <w:i/>
          <w:iCs/>
        </w:rPr>
        <w:t xml:space="preserve">P. ramorum. </w:t>
      </w:r>
      <w:r w:rsidRPr="003665A6">
        <w:t xml:space="preserve">Recovery of </w:t>
      </w:r>
      <w:r w:rsidRPr="003665A6">
        <w:rPr>
          <w:i/>
          <w:iCs/>
        </w:rPr>
        <w:t>P. ramorum</w:t>
      </w:r>
      <w:r w:rsidRPr="003665A6">
        <w:t xml:space="preserve"> from understory vegetation declined with distance from the primary source of inoculum in both EU1 and NA1 sites. EU1 sites were the same size as NA1 sites upon detection, having similar disease incidence at a given distance from the site center (Wilcoxon rank-sum test; p</w:t>
      </w:r>
      <w:r w:rsidR="00604375">
        <w:t xml:space="preserve"> </w:t>
      </w:r>
      <w:r w:rsidRPr="003665A6">
        <w:t>=</w:t>
      </w:r>
      <w:r w:rsidR="00604375">
        <w:t xml:space="preserve"> </w:t>
      </w:r>
      <w:r w:rsidRPr="003665A6">
        <w:t xml:space="preserve">0.38). Tanoak was abundant and was the most commonly infected host at both NA1 and EU1 sites. There was no difference between the recovery rates of either lineage for all hosts (Pearson’s test for independence at α = 0.05). </w:t>
      </w:r>
      <w:r w:rsidRPr="003665A6">
        <w:rPr>
          <w:i/>
          <w:iCs/>
        </w:rPr>
        <w:t>P. ramorum</w:t>
      </w:r>
      <w:r w:rsidRPr="003665A6">
        <w:t xml:space="preserve"> was not recovered from conifers.</w:t>
      </w:r>
    </w:p>
    <w:p w14:paraId="2761302F" w14:textId="77777777" w:rsidR="003665A6" w:rsidRDefault="003665A6" w:rsidP="00422E7C">
      <w:pPr>
        <w:spacing w:line="259" w:lineRule="auto"/>
      </w:pPr>
    </w:p>
    <w:p w14:paraId="2FB488CA" w14:textId="693813EC" w:rsidR="00422E7C" w:rsidRPr="00D70853" w:rsidRDefault="00422E7C" w:rsidP="00422E7C">
      <w:pPr>
        <w:spacing w:line="259" w:lineRule="auto"/>
      </w:pPr>
      <w:r w:rsidRPr="00D70853">
        <w:t>To complement field studies investigating rates of spread of the NA1 and EU1 lineages, we tested for epidemiologically-relevant differences between Curry County NA1 and EU1 isolates, with the following objectives:</w:t>
      </w:r>
    </w:p>
    <w:p w14:paraId="310A124E" w14:textId="77777777" w:rsidR="009800A8" w:rsidRPr="00D70853" w:rsidRDefault="009800A8" w:rsidP="00422E7C">
      <w:pPr>
        <w:spacing w:line="259" w:lineRule="auto"/>
      </w:pPr>
    </w:p>
    <w:p w14:paraId="3BF06B93" w14:textId="77777777" w:rsidR="00832D85" w:rsidRPr="00D70853" w:rsidRDefault="00607023" w:rsidP="00042208">
      <w:pPr>
        <w:numPr>
          <w:ilvl w:val="1"/>
          <w:numId w:val="1"/>
        </w:numPr>
        <w:tabs>
          <w:tab w:val="clear" w:pos="1440"/>
        </w:tabs>
        <w:spacing w:line="259" w:lineRule="auto"/>
        <w:ind w:left="900" w:hanging="450"/>
      </w:pPr>
      <w:r w:rsidRPr="00D70853">
        <w:t>Assess variation in isolate aggressiveness.</w:t>
      </w:r>
    </w:p>
    <w:p w14:paraId="115BB71A" w14:textId="1BE8FC7D" w:rsidR="00832D85" w:rsidRPr="00D70853" w:rsidRDefault="00607023" w:rsidP="00042208">
      <w:pPr>
        <w:numPr>
          <w:ilvl w:val="1"/>
          <w:numId w:val="1"/>
        </w:numPr>
        <w:tabs>
          <w:tab w:val="clear" w:pos="1440"/>
        </w:tabs>
        <w:spacing w:line="259" w:lineRule="auto"/>
        <w:ind w:left="900" w:hanging="450"/>
      </w:pPr>
      <w:r w:rsidRPr="00D70853">
        <w:lastRenderedPageBreak/>
        <w:t>Determine sporangial concentrations need</w:t>
      </w:r>
      <w:r w:rsidR="00025B22" w:rsidRPr="00D70853">
        <w:t xml:space="preserve">ed for 50% disease incidence on </w:t>
      </w:r>
      <w:r w:rsidRPr="00D70853">
        <w:t>epidemiologically important hosts and conifers as an indication of greater dispersal capacity or infection rates.</w:t>
      </w:r>
    </w:p>
    <w:p w14:paraId="068C2BFA" w14:textId="77777777" w:rsidR="00832D85" w:rsidRPr="00D70853" w:rsidRDefault="00607023" w:rsidP="00042208">
      <w:pPr>
        <w:numPr>
          <w:ilvl w:val="1"/>
          <w:numId w:val="1"/>
        </w:numPr>
        <w:tabs>
          <w:tab w:val="clear" w:pos="1440"/>
        </w:tabs>
        <w:spacing w:line="259" w:lineRule="auto"/>
        <w:ind w:left="900" w:hanging="450"/>
      </w:pPr>
      <w:r w:rsidRPr="00D70853">
        <w:t>Determine optimum temperatures for sporulation from rhododendron as an indication of potential for earlier sporulation.</w:t>
      </w:r>
    </w:p>
    <w:p w14:paraId="670742E8" w14:textId="77777777" w:rsidR="00422E7C" w:rsidRPr="00D70853" w:rsidRDefault="00422E7C" w:rsidP="00C57746">
      <w:pPr>
        <w:spacing w:line="259" w:lineRule="auto"/>
      </w:pPr>
    </w:p>
    <w:p w14:paraId="2EF92CC6" w14:textId="1FE29849" w:rsidR="00832D85" w:rsidRPr="00D70853" w:rsidRDefault="00422E7C" w:rsidP="00422E7C">
      <w:pPr>
        <w:spacing w:line="259" w:lineRule="auto"/>
      </w:pPr>
      <w:r w:rsidRPr="00D70853">
        <w:t>For objective 1, we artificially inoculated tanoak</w:t>
      </w:r>
      <w:r w:rsidR="00A02838" w:rsidRPr="00D70853">
        <w:t>,</w:t>
      </w:r>
      <w:r w:rsidRPr="00D70853">
        <w:t xml:space="preserve"> </w:t>
      </w:r>
      <w:r w:rsidR="00A02838" w:rsidRPr="00D70853">
        <w:rPr>
          <w:i/>
        </w:rPr>
        <w:t>Notholithocarpus densiflorus,</w:t>
      </w:r>
      <w:r w:rsidR="00A02838" w:rsidRPr="00D70853">
        <w:t xml:space="preserve"> </w:t>
      </w:r>
      <w:r w:rsidRPr="00D70853">
        <w:t>stems and rhododendron and bay laurel</w:t>
      </w:r>
      <w:r w:rsidR="00A02838" w:rsidRPr="00D70853">
        <w:t>,</w:t>
      </w:r>
      <w:r w:rsidRPr="00D70853">
        <w:t xml:space="preserve"> </w:t>
      </w:r>
      <w:r w:rsidR="00A02838" w:rsidRPr="00D70853">
        <w:rPr>
          <w:i/>
        </w:rPr>
        <w:t>Umbellularia californica,</w:t>
      </w:r>
      <w:r w:rsidR="00A02838" w:rsidRPr="00D70853">
        <w:t xml:space="preserve"> </w:t>
      </w:r>
      <w:r w:rsidRPr="00D70853">
        <w:t>leaves with mycelial plugs. Leaves and stems were incubated at 20</w:t>
      </w:r>
      <w:r w:rsidR="00604375">
        <w:t xml:space="preserve"> </w:t>
      </w:r>
      <w:r w:rsidRPr="00D70853">
        <w:t xml:space="preserve">°C for 7 days before measuring lesion area (leaves) or length (stems).  </w:t>
      </w:r>
      <w:r w:rsidR="00607023" w:rsidRPr="00D70853">
        <w:t>Consistent with prior studies, EU1 isolates were, on average, more aggressive on rhododendron, however some isolates were notably less or more aggressive th</w:t>
      </w:r>
      <w:r w:rsidRPr="00D70853">
        <w:t>an others within their lineage</w:t>
      </w:r>
      <w:r w:rsidR="00607023" w:rsidRPr="00D70853">
        <w:t>.  Lesion size on rhododendron was positively correlated with lesion size on bay</w:t>
      </w:r>
      <w:r w:rsidRPr="00D70853">
        <w:t xml:space="preserve"> laurel leaves and tanoak stems.</w:t>
      </w:r>
    </w:p>
    <w:p w14:paraId="28E5923D" w14:textId="77777777" w:rsidR="00422E7C" w:rsidRPr="00D70853" w:rsidRDefault="00422E7C" w:rsidP="00C57746">
      <w:pPr>
        <w:spacing w:line="259" w:lineRule="auto"/>
      </w:pPr>
    </w:p>
    <w:p w14:paraId="317211AE" w14:textId="2C7ACF5E" w:rsidR="00422E7C" w:rsidRPr="00D70853" w:rsidRDefault="00422E7C" w:rsidP="00422E7C">
      <w:pPr>
        <w:spacing w:line="259" w:lineRule="auto"/>
      </w:pPr>
      <w:r w:rsidRPr="00D70853">
        <w:t>For objective 2, non-wounded leaves, tanoak sprouts, or conifer seedling-tips (3 per host per concentration) were dipped tip-down into mixed-isolate sporangial suspensions diluted to various concentrations. These were then incubated for 7 weeks prior to plating in selective media to confirm infection. Two sets of assays were performed: one in the spring using Douglas-fir</w:t>
      </w:r>
      <w:r w:rsidR="00A02838" w:rsidRPr="00D70853">
        <w:t xml:space="preserve"> (</w:t>
      </w:r>
      <w:proofErr w:type="spellStart"/>
      <w:r w:rsidR="00A02838" w:rsidRPr="00D70853">
        <w:rPr>
          <w:i/>
        </w:rPr>
        <w:t>Pseudotsuga</w:t>
      </w:r>
      <w:proofErr w:type="spellEnd"/>
      <w:r w:rsidR="00A02838" w:rsidRPr="00D70853">
        <w:rPr>
          <w:i/>
        </w:rPr>
        <w:t xml:space="preserve"> </w:t>
      </w:r>
      <w:proofErr w:type="spellStart"/>
      <w:r w:rsidR="00A02838" w:rsidRPr="00D70853">
        <w:rPr>
          <w:i/>
        </w:rPr>
        <w:t>menziesii</w:t>
      </w:r>
      <w:proofErr w:type="spellEnd"/>
      <w:r w:rsidR="00A02838" w:rsidRPr="00D70853">
        <w:t>)</w:t>
      </w:r>
      <w:r w:rsidRPr="00D70853">
        <w:t>, Japanese larch</w:t>
      </w:r>
      <w:r w:rsidR="00A02838" w:rsidRPr="00D70853">
        <w:t xml:space="preserve"> (</w:t>
      </w:r>
      <w:proofErr w:type="spellStart"/>
      <w:r w:rsidR="00A02838" w:rsidRPr="00D70853">
        <w:rPr>
          <w:i/>
        </w:rPr>
        <w:t>Larix</w:t>
      </w:r>
      <w:proofErr w:type="spellEnd"/>
      <w:r w:rsidR="00A02838" w:rsidRPr="00D70853">
        <w:rPr>
          <w:i/>
        </w:rPr>
        <w:t xml:space="preserve"> </w:t>
      </w:r>
      <w:proofErr w:type="spellStart"/>
      <w:r w:rsidR="00A02838" w:rsidRPr="00D70853">
        <w:rPr>
          <w:i/>
        </w:rPr>
        <w:t>kaempferi</w:t>
      </w:r>
      <w:proofErr w:type="spellEnd"/>
      <w:r w:rsidR="00A02838" w:rsidRPr="00D70853">
        <w:t>)</w:t>
      </w:r>
      <w:r w:rsidRPr="00D70853">
        <w:t>, and rhododendron; and one in the summer using tanoak, bay laurel, and rhododendron. There was no difference between the two lineages in the number of sporangia needed to cause 50% disease incidence on tanoak, bay laurel, or rhododendron. High infection rates of Japanese larch and rhododendron were observed at relatively low concentrations in the spring; greater concentrations are needed for infection on Douglas-fir</w:t>
      </w:r>
      <w:r w:rsidR="00C855B8" w:rsidRPr="00D70853">
        <w:t>, though results were too variable to analyze.</w:t>
      </w:r>
      <w:r w:rsidRPr="00D70853">
        <w:t xml:space="preserve"> Preliminary results of a new assay indicate no difference </w:t>
      </w:r>
      <w:r w:rsidR="00C855B8" w:rsidRPr="00D70853">
        <w:t xml:space="preserve">between the two lineages </w:t>
      </w:r>
      <w:r w:rsidRPr="00D70853">
        <w:t>in the number of zoospores needed to produce infection on conifers.</w:t>
      </w:r>
    </w:p>
    <w:p w14:paraId="651BFC39" w14:textId="77777777" w:rsidR="009800A8" w:rsidRPr="00D70853" w:rsidRDefault="009800A8" w:rsidP="00422E7C">
      <w:pPr>
        <w:spacing w:line="259" w:lineRule="auto"/>
      </w:pPr>
    </w:p>
    <w:p w14:paraId="65796150" w14:textId="7F9F9157" w:rsidR="00422E7C" w:rsidRPr="00D70853" w:rsidRDefault="00422E7C" w:rsidP="009F66BB">
      <w:pPr>
        <w:spacing w:line="259" w:lineRule="auto"/>
      </w:pPr>
      <w:r w:rsidRPr="00D70853">
        <w:t>For objective 3, plug-inoculated rhododendron leaves were incubated for 7 days at 20</w:t>
      </w:r>
      <w:r w:rsidR="00604375">
        <w:t xml:space="preserve"> </w:t>
      </w:r>
      <w:r w:rsidRPr="00D70853">
        <w:t>°C to allow for infection establishment. Leaves were then rinsed and placed in growth chambers set between 4</w:t>
      </w:r>
      <w:r w:rsidR="00604375">
        <w:t xml:space="preserve"> </w:t>
      </w:r>
      <w:r w:rsidRPr="00D70853">
        <w:t>and 20</w:t>
      </w:r>
      <w:r w:rsidR="00604375">
        <w:t xml:space="preserve"> </w:t>
      </w:r>
      <w:r w:rsidRPr="00D70853">
        <w:t xml:space="preserve">°C for one week. Sporangia were rinsed, filtered and counted; the leaves were scanned and lesion area was assessed. </w:t>
      </w:r>
      <w:r w:rsidR="009A1744" w:rsidRPr="00D70853">
        <w:t>Lowest sporulation was observed at 4 and 20°</w:t>
      </w:r>
      <w:r w:rsidR="00604375">
        <w:t xml:space="preserve"> </w:t>
      </w:r>
      <w:r w:rsidR="009A1744" w:rsidRPr="00D70853">
        <w:t>C, with greatest sporulation being observed at 8</w:t>
      </w:r>
      <w:r w:rsidR="00604375">
        <w:t xml:space="preserve"> </w:t>
      </w:r>
      <w:r w:rsidR="009A1744" w:rsidRPr="00D70853">
        <w:t xml:space="preserve">°C for some isolates. </w:t>
      </w:r>
      <w:r w:rsidR="009F66BB" w:rsidRPr="00D70853">
        <w:t>On average, EU1 isolates sporulated at cooler temperatures, however this was highly dependent</w:t>
      </w:r>
      <w:r w:rsidR="00522E90" w:rsidRPr="00D70853">
        <w:t xml:space="preserve"> upon the isolate used.</w:t>
      </w:r>
    </w:p>
    <w:p w14:paraId="1C84BE05" w14:textId="2B7A7D1D" w:rsidR="00277057" w:rsidRPr="00D70853" w:rsidRDefault="00277057" w:rsidP="009F66BB">
      <w:pPr>
        <w:spacing w:line="259" w:lineRule="auto"/>
      </w:pPr>
    </w:p>
    <w:p w14:paraId="7DAB5D1C" w14:textId="751FEA6B" w:rsidR="00422E7C" w:rsidRPr="00D70853" w:rsidRDefault="00277057" w:rsidP="001A08B5">
      <w:pPr>
        <w:spacing w:line="259" w:lineRule="auto"/>
      </w:pPr>
      <w:r w:rsidRPr="00D70853">
        <w:t>Overall</w:t>
      </w:r>
      <w:r w:rsidR="00F7239B" w:rsidRPr="00D70853">
        <w:t>,</w:t>
      </w:r>
      <w:r w:rsidRPr="00D70853">
        <w:t xml:space="preserve"> greater lesion sizes and greater capacity to produce sporangia at lower temperatures indicates the EU1 lineage may pose a greater threat to Oregon forests, however some isolates performed more similarly to the opposing lineage.</w:t>
      </w:r>
    </w:p>
    <w:sectPr w:rsidR="00422E7C" w:rsidRPr="00D70853" w:rsidSect="00A0283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DDF2" w14:textId="77777777" w:rsidR="00D804B7" w:rsidRDefault="00D804B7" w:rsidP="00E5334F">
      <w:r>
        <w:separator/>
      </w:r>
    </w:p>
  </w:endnote>
  <w:endnote w:type="continuationSeparator" w:id="0">
    <w:p w14:paraId="326D9E57" w14:textId="77777777" w:rsidR="00D804B7" w:rsidRDefault="00D804B7" w:rsidP="00E5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5166" w14:textId="77777777" w:rsidR="00D804B7" w:rsidRDefault="00D804B7" w:rsidP="00E5334F">
      <w:r>
        <w:separator/>
      </w:r>
    </w:p>
  </w:footnote>
  <w:footnote w:type="continuationSeparator" w:id="0">
    <w:p w14:paraId="54F8F7BF" w14:textId="77777777" w:rsidR="00D804B7" w:rsidRDefault="00D804B7" w:rsidP="00E5334F">
      <w:r>
        <w:continuationSeparator/>
      </w:r>
    </w:p>
  </w:footnote>
  <w:footnote w:id="1">
    <w:p w14:paraId="34AFE23C" w14:textId="77777777" w:rsidR="000A7A43" w:rsidRPr="00EE4961" w:rsidRDefault="00E5334F" w:rsidP="00E5334F">
      <w:pPr>
        <w:pStyle w:val="FootnoteText"/>
      </w:pPr>
      <w:r w:rsidRPr="00EE4961">
        <w:rPr>
          <w:rStyle w:val="FootnoteReference"/>
          <w:i/>
        </w:rPr>
        <w:footnoteRef/>
      </w:r>
      <w:r w:rsidRPr="00EE4961">
        <w:rPr>
          <w:i/>
        </w:rPr>
        <w:t xml:space="preserve"> </w:t>
      </w:r>
      <w:r w:rsidR="000A7A43" w:rsidRPr="00EE4961">
        <w:t>A version of the paper was presented at the Seventh Sudden Oak Death Science and Management Symposium, June 25-27, 2019, San Francisco, California.</w:t>
      </w:r>
    </w:p>
    <w:p w14:paraId="7919BCE8" w14:textId="5A86D709" w:rsidR="00E5334F" w:rsidRPr="00EE4961" w:rsidRDefault="00E5334F" w:rsidP="00E5334F">
      <w:pPr>
        <w:pStyle w:val="FootnoteText"/>
      </w:pPr>
      <w:r w:rsidRPr="00EE4961">
        <w:rPr>
          <w:rStyle w:val="FootnoteReference"/>
          <w:i/>
        </w:rPr>
        <w:t>2</w:t>
      </w:r>
      <w:r w:rsidRPr="00EE4961">
        <w:rPr>
          <w:i/>
        </w:rPr>
        <w:t xml:space="preserve"> </w:t>
      </w:r>
      <w:r w:rsidRPr="00EE4961">
        <w:rPr>
          <w:bCs/>
        </w:rPr>
        <w:t>Dept. of Botany and Plant Pathology, Oregon State University, Corvallis, OR 97331.</w:t>
      </w:r>
    </w:p>
    <w:p w14:paraId="6B71089D" w14:textId="286E5B88" w:rsidR="00E5334F" w:rsidRPr="00EE4961" w:rsidRDefault="00E5334F" w:rsidP="00E5334F">
      <w:pPr>
        <w:pStyle w:val="FootnoteText"/>
      </w:pPr>
      <w:r w:rsidRPr="00EE4961">
        <w:rPr>
          <w:rStyle w:val="FootnoteReference"/>
          <w:i/>
        </w:rPr>
        <w:t>3</w:t>
      </w:r>
      <w:r w:rsidRPr="00EE4961">
        <w:t xml:space="preserve"> </w:t>
      </w:r>
      <w:r w:rsidRPr="00EE4961">
        <w:rPr>
          <w:bCs/>
        </w:rPr>
        <w:t>Dept. of Crop and Soil Science, Oregon State University, Corvallis, OR 97331.</w:t>
      </w:r>
    </w:p>
    <w:p w14:paraId="237F3C69" w14:textId="5716C58F" w:rsidR="00E5334F" w:rsidRPr="00EE4961" w:rsidRDefault="00E5334F" w:rsidP="00E5334F">
      <w:pPr>
        <w:autoSpaceDE w:val="0"/>
        <w:autoSpaceDN w:val="0"/>
        <w:adjustRightInd w:val="0"/>
        <w:rPr>
          <w:sz w:val="20"/>
          <w:szCs w:val="20"/>
        </w:rPr>
      </w:pPr>
      <w:r w:rsidRPr="00EE4961">
        <w:rPr>
          <w:rStyle w:val="FootnoteReference"/>
          <w:i/>
          <w:sz w:val="20"/>
          <w:szCs w:val="20"/>
        </w:rPr>
        <w:t>4</w:t>
      </w:r>
      <w:r w:rsidRPr="00EE4961">
        <w:rPr>
          <w:i/>
          <w:sz w:val="20"/>
          <w:szCs w:val="20"/>
        </w:rPr>
        <w:t xml:space="preserve"> </w:t>
      </w:r>
      <w:r w:rsidRPr="00EE4961">
        <w:rPr>
          <w:sz w:val="20"/>
          <w:szCs w:val="20"/>
        </w:rPr>
        <w:t xml:space="preserve">Oregon Dept. of Forestry, Salem, OR </w:t>
      </w:r>
      <w:r w:rsidRPr="00EE4961">
        <w:rPr>
          <w:bCs/>
          <w:sz w:val="20"/>
          <w:szCs w:val="20"/>
        </w:rPr>
        <w:t>97310.</w:t>
      </w:r>
    </w:p>
    <w:p w14:paraId="633D41B0" w14:textId="77BE2F94" w:rsidR="00E5334F" w:rsidRPr="00EE4961" w:rsidRDefault="00E5334F" w:rsidP="00E5334F">
      <w:pPr>
        <w:pStyle w:val="FootnoteText"/>
      </w:pPr>
      <w:r w:rsidRPr="00EE4961">
        <w:rPr>
          <w:bCs/>
        </w:rPr>
        <w:t xml:space="preserve">Corresponding author: </w:t>
      </w:r>
      <w:r w:rsidR="00C1339E" w:rsidRPr="00EE4961">
        <w:rPr>
          <w:bCs/>
        </w:rPr>
        <w:t xml:space="preserve">E. Peterson, </w:t>
      </w:r>
      <w:r w:rsidRPr="00EE4961">
        <w:t>peterebb@science.oregonstate.edu</w:t>
      </w:r>
      <w:r w:rsidRPr="00EE4961">
        <w:rPr>
          <w:bCs/>
        </w:rPr>
        <w:t>.</w:t>
      </w:r>
      <w:r w:rsidRPr="00EE4961">
        <w:t xml:space="preserve"> </w:t>
      </w:r>
    </w:p>
    <w:p w14:paraId="1714C048" w14:textId="77777777" w:rsidR="00E5334F" w:rsidRPr="00E5334F" w:rsidRDefault="00E5334F" w:rsidP="00E5334F">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0630" w14:textId="4C3705B4" w:rsidR="00A02838" w:rsidRPr="00D51FB9" w:rsidRDefault="00A02838" w:rsidP="00604375">
    <w:pPr>
      <w:tabs>
        <w:tab w:val="center" w:pos="4680"/>
        <w:tab w:val="right" w:pos="9360"/>
      </w:tabs>
      <w:jc w:val="center"/>
      <w:rPr>
        <w:rFonts w:asciiTheme="minorHAnsi" w:hAnsiTheme="minorHAnsi" w:cstheme="minorHAnsi"/>
        <w:i/>
      </w:rPr>
    </w:pPr>
    <w:r w:rsidRPr="00D51FB9">
      <w:rPr>
        <w:rFonts w:asciiTheme="minorHAnsi" w:hAnsiTheme="minorHAnsi" w:cstheme="minorHAnsi"/>
        <w:i/>
      </w:rPr>
      <w:t>Proceedings of the Sudden Oak Death Seventh Science and Management Symposium</w:t>
    </w:r>
  </w:p>
  <w:p w14:paraId="77BA647A" w14:textId="77777777" w:rsidR="00A02838" w:rsidRDefault="00A02838" w:rsidP="006043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708"/>
    <w:multiLevelType w:val="hybridMultilevel"/>
    <w:tmpl w:val="9CC0D8D8"/>
    <w:lvl w:ilvl="0" w:tplc="4DA40A36">
      <w:start w:val="1"/>
      <w:numFmt w:val="bullet"/>
      <w:lvlText w:val="•"/>
      <w:lvlJc w:val="left"/>
      <w:pPr>
        <w:tabs>
          <w:tab w:val="num" w:pos="720"/>
        </w:tabs>
        <w:ind w:left="720" w:hanging="360"/>
      </w:pPr>
      <w:rPr>
        <w:rFonts w:ascii="Arial" w:hAnsi="Arial" w:hint="default"/>
      </w:rPr>
    </w:lvl>
    <w:lvl w:ilvl="1" w:tplc="07D4C7E2" w:tentative="1">
      <w:start w:val="1"/>
      <w:numFmt w:val="bullet"/>
      <w:lvlText w:val="•"/>
      <w:lvlJc w:val="left"/>
      <w:pPr>
        <w:tabs>
          <w:tab w:val="num" w:pos="1440"/>
        </w:tabs>
        <w:ind w:left="1440" w:hanging="360"/>
      </w:pPr>
      <w:rPr>
        <w:rFonts w:ascii="Arial" w:hAnsi="Arial" w:hint="default"/>
      </w:rPr>
    </w:lvl>
    <w:lvl w:ilvl="2" w:tplc="C5C009B2" w:tentative="1">
      <w:start w:val="1"/>
      <w:numFmt w:val="bullet"/>
      <w:lvlText w:val="•"/>
      <w:lvlJc w:val="left"/>
      <w:pPr>
        <w:tabs>
          <w:tab w:val="num" w:pos="2160"/>
        </w:tabs>
        <w:ind w:left="2160" w:hanging="360"/>
      </w:pPr>
      <w:rPr>
        <w:rFonts w:ascii="Arial" w:hAnsi="Arial" w:hint="default"/>
      </w:rPr>
    </w:lvl>
    <w:lvl w:ilvl="3" w:tplc="62720342" w:tentative="1">
      <w:start w:val="1"/>
      <w:numFmt w:val="bullet"/>
      <w:lvlText w:val="•"/>
      <w:lvlJc w:val="left"/>
      <w:pPr>
        <w:tabs>
          <w:tab w:val="num" w:pos="2880"/>
        </w:tabs>
        <w:ind w:left="2880" w:hanging="360"/>
      </w:pPr>
      <w:rPr>
        <w:rFonts w:ascii="Arial" w:hAnsi="Arial" w:hint="default"/>
      </w:rPr>
    </w:lvl>
    <w:lvl w:ilvl="4" w:tplc="3A2050BA" w:tentative="1">
      <w:start w:val="1"/>
      <w:numFmt w:val="bullet"/>
      <w:lvlText w:val="•"/>
      <w:lvlJc w:val="left"/>
      <w:pPr>
        <w:tabs>
          <w:tab w:val="num" w:pos="3600"/>
        </w:tabs>
        <w:ind w:left="3600" w:hanging="360"/>
      </w:pPr>
      <w:rPr>
        <w:rFonts w:ascii="Arial" w:hAnsi="Arial" w:hint="default"/>
      </w:rPr>
    </w:lvl>
    <w:lvl w:ilvl="5" w:tplc="455C2D2E" w:tentative="1">
      <w:start w:val="1"/>
      <w:numFmt w:val="bullet"/>
      <w:lvlText w:val="•"/>
      <w:lvlJc w:val="left"/>
      <w:pPr>
        <w:tabs>
          <w:tab w:val="num" w:pos="4320"/>
        </w:tabs>
        <w:ind w:left="4320" w:hanging="360"/>
      </w:pPr>
      <w:rPr>
        <w:rFonts w:ascii="Arial" w:hAnsi="Arial" w:hint="default"/>
      </w:rPr>
    </w:lvl>
    <w:lvl w:ilvl="6" w:tplc="886C1AE2" w:tentative="1">
      <w:start w:val="1"/>
      <w:numFmt w:val="bullet"/>
      <w:lvlText w:val="•"/>
      <w:lvlJc w:val="left"/>
      <w:pPr>
        <w:tabs>
          <w:tab w:val="num" w:pos="5040"/>
        </w:tabs>
        <w:ind w:left="5040" w:hanging="360"/>
      </w:pPr>
      <w:rPr>
        <w:rFonts w:ascii="Arial" w:hAnsi="Arial" w:hint="default"/>
      </w:rPr>
    </w:lvl>
    <w:lvl w:ilvl="7" w:tplc="C9BA61C8" w:tentative="1">
      <w:start w:val="1"/>
      <w:numFmt w:val="bullet"/>
      <w:lvlText w:val="•"/>
      <w:lvlJc w:val="left"/>
      <w:pPr>
        <w:tabs>
          <w:tab w:val="num" w:pos="5760"/>
        </w:tabs>
        <w:ind w:left="5760" w:hanging="360"/>
      </w:pPr>
      <w:rPr>
        <w:rFonts w:ascii="Arial" w:hAnsi="Arial" w:hint="default"/>
      </w:rPr>
    </w:lvl>
    <w:lvl w:ilvl="8" w:tplc="C0F408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46750"/>
    <w:multiLevelType w:val="hybridMultilevel"/>
    <w:tmpl w:val="7A707EFC"/>
    <w:lvl w:ilvl="0" w:tplc="20F2491A">
      <w:start w:val="1"/>
      <w:numFmt w:val="decimal"/>
      <w:lvlText w:val="%1)"/>
      <w:lvlJc w:val="left"/>
      <w:pPr>
        <w:tabs>
          <w:tab w:val="num" w:pos="720"/>
        </w:tabs>
        <w:ind w:left="720" w:hanging="360"/>
      </w:pPr>
    </w:lvl>
    <w:lvl w:ilvl="1" w:tplc="D1183E00">
      <w:start w:val="1"/>
      <w:numFmt w:val="decimal"/>
      <w:lvlText w:val="%2)"/>
      <w:lvlJc w:val="left"/>
      <w:pPr>
        <w:tabs>
          <w:tab w:val="num" w:pos="1440"/>
        </w:tabs>
        <w:ind w:left="1440" w:hanging="360"/>
      </w:pPr>
    </w:lvl>
    <w:lvl w:ilvl="2" w:tplc="F3ACBE8A" w:tentative="1">
      <w:start w:val="1"/>
      <w:numFmt w:val="decimal"/>
      <w:lvlText w:val="%3)"/>
      <w:lvlJc w:val="left"/>
      <w:pPr>
        <w:tabs>
          <w:tab w:val="num" w:pos="2160"/>
        </w:tabs>
        <w:ind w:left="2160" w:hanging="360"/>
      </w:pPr>
    </w:lvl>
    <w:lvl w:ilvl="3" w:tplc="34700796" w:tentative="1">
      <w:start w:val="1"/>
      <w:numFmt w:val="decimal"/>
      <w:lvlText w:val="%4)"/>
      <w:lvlJc w:val="left"/>
      <w:pPr>
        <w:tabs>
          <w:tab w:val="num" w:pos="2880"/>
        </w:tabs>
        <w:ind w:left="2880" w:hanging="360"/>
      </w:pPr>
    </w:lvl>
    <w:lvl w:ilvl="4" w:tplc="3E047B8E" w:tentative="1">
      <w:start w:val="1"/>
      <w:numFmt w:val="decimal"/>
      <w:lvlText w:val="%5)"/>
      <w:lvlJc w:val="left"/>
      <w:pPr>
        <w:tabs>
          <w:tab w:val="num" w:pos="3600"/>
        </w:tabs>
        <w:ind w:left="3600" w:hanging="360"/>
      </w:pPr>
    </w:lvl>
    <w:lvl w:ilvl="5" w:tplc="88B2B838" w:tentative="1">
      <w:start w:val="1"/>
      <w:numFmt w:val="decimal"/>
      <w:lvlText w:val="%6)"/>
      <w:lvlJc w:val="left"/>
      <w:pPr>
        <w:tabs>
          <w:tab w:val="num" w:pos="4320"/>
        </w:tabs>
        <w:ind w:left="4320" w:hanging="360"/>
      </w:pPr>
    </w:lvl>
    <w:lvl w:ilvl="6" w:tplc="DA4C1526" w:tentative="1">
      <w:start w:val="1"/>
      <w:numFmt w:val="decimal"/>
      <w:lvlText w:val="%7)"/>
      <w:lvlJc w:val="left"/>
      <w:pPr>
        <w:tabs>
          <w:tab w:val="num" w:pos="5040"/>
        </w:tabs>
        <w:ind w:left="5040" w:hanging="360"/>
      </w:pPr>
    </w:lvl>
    <w:lvl w:ilvl="7" w:tplc="A04E6E76" w:tentative="1">
      <w:start w:val="1"/>
      <w:numFmt w:val="decimal"/>
      <w:lvlText w:val="%8)"/>
      <w:lvlJc w:val="left"/>
      <w:pPr>
        <w:tabs>
          <w:tab w:val="num" w:pos="5760"/>
        </w:tabs>
        <w:ind w:left="5760" w:hanging="360"/>
      </w:pPr>
    </w:lvl>
    <w:lvl w:ilvl="8" w:tplc="47A8612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25B22"/>
    <w:rsid w:val="00031303"/>
    <w:rsid w:val="00032F76"/>
    <w:rsid w:val="00042208"/>
    <w:rsid w:val="000539FC"/>
    <w:rsid w:val="000771E7"/>
    <w:rsid w:val="000A1958"/>
    <w:rsid w:val="000A7A43"/>
    <w:rsid w:val="000C1E6E"/>
    <w:rsid w:val="000F20DB"/>
    <w:rsid w:val="0015689C"/>
    <w:rsid w:val="00170791"/>
    <w:rsid w:val="0018729A"/>
    <w:rsid w:val="00195AC1"/>
    <w:rsid w:val="001A08B5"/>
    <w:rsid w:val="001E7087"/>
    <w:rsid w:val="002035AD"/>
    <w:rsid w:val="002211F3"/>
    <w:rsid w:val="00225B8B"/>
    <w:rsid w:val="0024364D"/>
    <w:rsid w:val="00277057"/>
    <w:rsid w:val="002B25AE"/>
    <w:rsid w:val="002C50B4"/>
    <w:rsid w:val="00313A9D"/>
    <w:rsid w:val="00346AF1"/>
    <w:rsid w:val="00363674"/>
    <w:rsid w:val="003665A6"/>
    <w:rsid w:val="00377700"/>
    <w:rsid w:val="00387EA7"/>
    <w:rsid w:val="003A3083"/>
    <w:rsid w:val="003B0A71"/>
    <w:rsid w:val="003B1566"/>
    <w:rsid w:val="004076AE"/>
    <w:rsid w:val="00411956"/>
    <w:rsid w:val="004163C0"/>
    <w:rsid w:val="00422E7C"/>
    <w:rsid w:val="004252C4"/>
    <w:rsid w:val="00467EFD"/>
    <w:rsid w:val="00482087"/>
    <w:rsid w:val="004F4342"/>
    <w:rsid w:val="004F46CF"/>
    <w:rsid w:val="00522E90"/>
    <w:rsid w:val="005474BB"/>
    <w:rsid w:val="00565495"/>
    <w:rsid w:val="00573DFD"/>
    <w:rsid w:val="00587F3D"/>
    <w:rsid w:val="005E6F6F"/>
    <w:rsid w:val="00604375"/>
    <w:rsid w:val="00607023"/>
    <w:rsid w:val="00615A74"/>
    <w:rsid w:val="00620F60"/>
    <w:rsid w:val="00691A69"/>
    <w:rsid w:val="006C687D"/>
    <w:rsid w:val="00722DE6"/>
    <w:rsid w:val="00762BF0"/>
    <w:rsid w:val="007B40EE"/>
    <w:rsid w:val="007C4D6F"/>
    <w:rsid w:val="007C56A6"/>
    <w:rsid w:val="007D4648"/>
    <w:rsid w:val="00832D85"/>
    <w:rsid w:val="00854E01"/>
    <w:rsid w:val="00873171"/>
    <w:rsid w:val="008946A8"/>
    <w:rsid w:val="008B7EDA"/>
    <w:rsid w:val="008E5726"/>
    <w:rsid w:val="009460A4"/>
    <w:rsid w:val="009527BC"/>
    <w:rsid w:val="009800A8"/>
    <w:rsid w:val="009A1744"/>
    <w:rsid w:val="009D0052"/>
    <w:rsid w:val="009D1224"/>
    <w:rsid w:val="009E2B22"/>
    <w:rsid w:val="009F66BB"/>
    <w:rsid w:val="00A02838"/>
    <w:rsid w:val="00A03121"/>
    <w:rsid w:val="00A15F18"/>
    <w:rsid w:val="00A22417"/>
    <w:rsid w:val="00A4325A"/>
    <w:rsid w:val="00A6793F"/>
    <w:rsid w:val="00A84183"/>
    <w:rsid w:val="00A93E93"/>
    <w:rsid w:val="00AA4C65"/>
    <w:rsid w:val="00AA53C5"/>
    <w:rsid w:val="00AB1916"/>
    <w:rsid w:val="00AC6A00"/>
    <w:rsid w:val="00B0014C"/>
    <w:rsid w:val="00B22206"/>
    <w:rsid w:val="00B30533"/>
    <w:rsid w:val="00B75B49"/>
    <w:rsid w:val="00B8037E"/>
    <w:rsid w:val="00B95836"/>
    <w:rsid w:val="00BA5A4E"/>
    <w:rsid w:val="00BC7623"/>
    <w:rsid w:val="00BF6540"/>
    <w:rsid w:val="00C01FA2"/>
    <w:rsid w:val="00C1219E"/>
    <w:rsid w:val="00C1339E"/>
    <w:rsid w:val="00C3116B"/>
    <w:rsid w:val="00C57746"/>
    <w:rsid w:val="00C855B8"/>
    <w:rsid w:val="00CB15B4"/>
    <w:rsid w:val="00CC7858"/>
    <w:rsid w:val="00CD5906"/>
    <w:rsid w:val="00D262FE"/>
    <w:rsid w:val="00D51FB9"/>
    <w:rsid w:val="00D70853"/>
    <w:rsid w:val="00D76BA5"/>
    <w:rsid w:val="00D804B7"/>
    <w:rsid w:val="00DB3AD3"/>
    <w:rsid w:val="00DD1BE0"/>
    <w:rsid w:val="00DE1282"/>
    <w:rsid w:val="00E1123D"/>
    <w:rsid w:val="00E31242"/>
    <w:rsid w:val="00E326CE"/>
    <w:rsid w:val="00E5334F"/>
    <w:rsid w:val="00E535D7"/>
    <w:rsid w:val="00E743A3"/>
    <w:rsid w:val="00EA0F86"/>
    <w:rsid w:val="00EC2D1B"/>
    <w:rsid w:val="00EC390B"/>
    <w:rsid w:val="00EE4961"/>
    <w:rsid w:val="00F162B0"/>
    <w:rsid w:val="00F248F1"/>
    <w:rsid w:val="00F47270"/>
    <w:rsid w:val="00F6561C"/>
    <w:rsid w:val="00F7239B"/>
    <w:rsid w:val="00F84067"/>
    <w:rsid w:val="00FC241C"/>
    <w:rsid w:val="00FC668B"/>
    <w:rsid w:val="00FD4CCA"/>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6093B"/>
  <w15:docId w15:val="{867325FD-56A1-4E81-B67C-CEFED1C8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A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A8"/>
    <w:rPr>
      <w:color w:val="0000FF"/>
      <w:u w:val="single"/>
    </w:rPr>
  </w:style>
  <w:style w:type="paragraph" w:styleId="Revision">
    <w:name w:val="Revision"/>
    <w:hidden/>
    <w:uiPriority w:val="99"/>
    <w:semiHidden/>
    <w:rsid w:val="00E743A3"/>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743A3"/>
    <w:rPr>
      <w:sz w:val="18"/>
      <w:szCs w:val="18"/>
    </w:rPr>
  </w:style>
  <w:style w:type="character" w:customStyle="1" w:styleId="BalloonTextChar">
    <w:name w:val="Balloon Text Char"/>
    <w:basedOn w:val="DefaultParagraphFont"/>
    <w:link w:val="BalloonText"/>
    <w:uiPriority w:val="99"/>
    <w:semiHidden/>
    <w:rsid w:val="00E743A3"/>
    <w:rPr>
      <w:rFonts w:eastAsia="Times New Roman" w:cs="Times New Roman"/>
      <w:sz w:val="18"/>
      <w:szCs w:val="18"/>
    </w:rPr>
  </w:style>
  <w:style w:type="character" w:styleId="CommentReference">
    <w:name w:val="annotation reference"/>
    <w:basedOn w:val="DefaultParagraphFont"/>
    <w:uiPriority w:val="99"/>
    <w:semiHidden/>
    <w:unhideWhenUsed/>
    <w:rsid w:val="00E743A3"/>
    <w:rPr>
      <w:sz w:val="16"/>
      <w:szCs w:val="16"/>
    </w:rPr>
  </w:style>
  <w:style w:type="paragraph" w:styleId="CommentText">
    <w:name w:val="annotation text"/>
    <w:basedOn w:val="Normal"/>
    <w:link w:val="CommentTextChar"/>
    <w:uiPriority w:val="99"/>
    <w:semiHidden/>
    <w:unhideWhenUsed/>
    <w:rsid w:val="00E743A3"/>
    <w:rPr>
      <w:sz w:val="20"/>
      <w:szCs w:val="20"/>
    </w:rPr>
  </w:style>
  <w:style w:type="character" w:customStyle="1" w:styleId="CommentTextChar">
    <w:name w:val="Comment Text Char"/>
    <w:basedOn w:val="DefaultParagraphFont"/>
    <w:link w:val="CommentText"/>
    <w:uiPriority w:val="99"/>
    <w:semiHidden/>
    <w:rsid w:val="00E743A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43A3"/>
    <w:rPr>
      <w:b/>
      <w:bCs/>
    </w:rPr>
  </w:style>
  <w:style w:type="character" w:customStyle="1" w:styleId="CommentSubjectChar">
    <w:name w:val="Comment Subject Char"/>
    <w:basedOn w:val="CommentTextChar"/>
    <w:link w:val="CommentSubject"/>
    <w:uiPriority w:val="99"/>
    <w:semiHidden/>
    <w:rsid w:val="00E743A3"/>
    <w:rPr>
      <w:rFonts w:eastAsia="Times New Roman" w:cs="Times New Roman"/>
      <w:b/>
      <w:bCs/>
      <w:sz w:val="20"/>
      <w:szCs w:val="20"/>
    </w:rPr>
  </w:style>
  <w:style w:type="paragraph" w:styleId="NormalWeb">
    <w:name w:val="Normal (Web)"/>
    <w:basedOn w:val="Normal"/>
    <w:uiPriority w:val="99"/>
    <w:semiHidden/>
    <w:unhideWhenUsed/>
    <w:rsid w:val="00422E7C"/>
    <w:pPr>
      <w:spacing w:before="100" w:beforeAutospacing="1" w:after="100" w:afterAutospacing="1"/>
    </w:pPr>
  </w:style>
  <w:style w:type="paragraph" w:styleId="FootnoteText">
    <w:name w:val="footnote text"/>
    <w:basedOn w:val="Normal"/>
    <w:link w:val="FootnoteTextChar"/>
    <w:semiHidden/>
    <w:unhideWhenUsed/>
    <w:rsid w:val="00E5334F"/>
    <w:rPr>
      <w:sz w:val="20"/>
      <w:szCs w:val="20"/>
    </w:rPr>
  </w:style>
  <w:style w:type="character" w:customStyle="1" w:styleId="FootnoteTextChar">
    <w:name w:val="Footnote Text Char"/>
    <w:basedOn w:val="DefaultParagraphFont"/>
    <w:link w:val="FootnoteText"/>
    <w:semiHidden/>
    <w:rsid w:val="00E5334F"/>
    <w:rPr>
      <w:rFonts w:eastAsia="Times New Roman" w:cs="Times New Roman"/>
      <w:sz w:val="20"/>
      <w:szCs w:val="20"/>
    </w:rPr>
  </w:style>
  <w:style w:type="character" w:styleId="FootnoteReference">
    <w:name w:val="footnote reference"/>
    <w:basedOn w:val="DefaultParagraphFont"/>
    <w:semiHidden/>
    <w:unhideWhenUsed/>
    <w:rsid w:val="00E5334F"/>
    <w:rPr>
      <w:vertAlign w:val="superscript"/>
    </w:rPr>
  </w:style>
  <w:style w:type="paragraph" w:styleId="Header">
    <w:name w:val="header"/>
    <w:basedOn w:val="Normal"/>
    <w:link w:val="HeaderChar"/>
    <w:uiPriority w:val="99"/>
    <w:unhideWhenUsed/>
    <w:rsid w:val="00A02838"/>
    <w:pPr>
      <w:tabs>
        <w:tab w:val="center" w:pos="4680"/>
        <w:tab w:val="right" w:pos="9360"/>
      </w:tabs>
    </w:pPr>
  </w:style>
  <w:style w:type="character" w:customStyle="1" w:styleId="HeaderChar">
    <w:name w:val="Header Char"/>
    <w:basedOn w:val="DefaultParagraphFont"/>
    <w:link w:val="Header"/>
    <w:uiPriority w:val="99"/>
    <w:rsid w:val="00A02838"/>
    <w:rPr>
      <w:rFonts w:eastAsia="Times New Roman" w:cs="Times New Roman"/>
      <w:szCs w:val="24"/>
    </w:rPr>
  </w:style>
  <w:style w:type="paragraph" w:styleId="Footer">
    <w:name w:val="footer"/>
    <w:basedOn w:val="Normal"/>
    <w:link w:val="FooterChar"/>
    <w:uiPriority w:val="99"/>
    <w:unhideWhenUsed/>
    <w:rsid w:val="00A02838"/>
    <w:pPr>
      <w:tabs>
        <w:tab w:val="center" w:pos="4680"/>
        <w:tab w:val="right" w:pos="9360"/>
      </w:tabs>
    </w:pPr>
  </w:style>
  <w:style w:type="character" w:customStyle="1" w:styleId="FooterChar">
    <w:name w:val="Footer Char"/>
    <w:basedOn w:val="DefaultParagraphFont"/>
    <w:link w:val="Footer"/>
    <w:uiPriority w:val="99"/>
    <w:rsid w:val="00A0283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9829">
      <w:bodyDiv w:val="1"/>
      <w:marLeft w:val="0"/>
      <w:marRight w:val="0"/>
      <w:marTop w:val="0"/>
      <w:marBottom w:val="0"/>
      <w:divBdr>
        <w:top w:val="none" w:sz="0" w:space="0" w:color="auto"/>
        <w:left w:val="none" w:sz="0" w:space="0" w:color="auto"/>
        <w:bottom w:val="none" w:sz="0" w:space="0" w:color="auto"/>
        <w:right w:val="none" w:sz="0" w:space="0" w:color="auto"/>
      </w:divBdr>
    </w:div>
    <w:div w:id="874854913">
      <w:bodyDiv w:val="1"/>
      <w:marLeft w:val="0"/>
      <w:marRight w:val="0"/>
      <w:marTop w:val="0"/>
      <w:marBottom w:val="0"/>
      <w:divBdr>
        <w:top w:val="none" w:sz="0" w:space="0" w:color="auto"/>
        <w:left w:val="none" w:sz="0" w:space="0" w:color="auto"/>
        <w:bottom w:val="none" w:sz="0" w:space="0" w:color="auto"/>
        <w:right w:val="none" w:sz="0" w:space="0" w:color="auto"/>
      </w:divBdr>
      <w:divsChild>
        <w:div w:id="1601990014">
          <w:marLeft w:val="446"/>
          <w:marRight w:val="0"/>
          <w:marTop w:val="0"/>
          <w:marBottom w:val="240"/>
          <w:divBdr>
            <w:top w:val="none" w:sz="0" w:space="0" w:color="auto"/>
            <w:left w:val="none" w:sz="0" w:space="0" w:color="auto"/>
            <w:bottom w:val="none" w:sz="0" w:space="0" w:color="auto"/>
            <w:right w:val="none" w:sz="0" w:space="0" w:color="auto"/>
          </w:divBdr>
        </w:div>
        <w:div w:id="1684893528">
          <w:marLeft w:val="446"/>
          <w:marRight w:val="0"/>
          <w:marTop w:val="0"/>
          <w:marBottom w:val="240"/>
          <w:divBdr>
            <w:top w:val="none" w:sz="0" w:space="0" w:color="auto"/>
            <w:left w:val="none" w:sz="0" w:space="0" w:color="auto"/>
            <w:bottom w:val="none" w:sz="0" w:space="0" w:color="auto"/>
            <w:right w:val="none" w:sz="0" w:space="0" w:color="auto"/>
          </w:divBdr>
        </w:div>
      </w:divsChild>
    </w:div>
    <w:div w:id="911890081">
      <w:bodyDiv w:val="1"/>
      <w:marLeft w:val="0"/>
      <w:marRight w:val="0"/>
      <w:marTop w:val="0"/>
      <w:marBottom w:val="0"/>
      <w:divBdr>
        <w:top w:val="none" w:sz="0" w:space="0" w:color="auto"/>
        <w:left w:val="none" w:sz="0" w:space="0" w:color="auto"/>
        <w:bottom w:val="none" w:sz="0" w:space="0" w:color="auto"/>
        <w:right w:val="none" w:sz="0" w:space="0" w:color="auto"/>
      </w:divBdr>
      <w:divsChild>
        <w:div w:id="2070497690">
          <w:marLeft w:val="446"/>
          <w:marRight w:val="0"/>
          <w:marTop w:val="0"/>
          <w:marBottom w:val="240"/>
          <w:divBdr>
            <w:top w:val="none" w:sz="0" w:space="0" w:color="auto"/>
            <w:left w:val="none" w:sz="0" w:space="0" w:color="auto"/>
            <w:bottom w:val="none" w:sz="0" w:space="0" w:color="auto"/>
            <w:right w:val="none" w:sz="0" w:space="0" w:color="auto"/>
          </w:divBdr>
        </w:div>
      </w:divsChild>
    </w:div>
    <w:div w:id="1120220277">
      <w:bodyDiv w:val="1"/>
      <w:marLeft w:val="0"/>
      <w:marRight w:val="0"/>
      <w:marTop w:val="0"/>
      <w:marBottom w:val="0"/>
      <w:divBdr>
        <w:top w:val="none" w:sz="0" w:space="0" w:color="auto"/>
        <w:left w:val="none" w:sz="0" w:space="0" w:color="auto"/>
        <w:bottom w:val="none" w:sz="0" w:space="0" w:color="auto"/>
        <w:right w:val="none" w:sz="0" w:space="0" w:color="auto"/>
      </w:divBdr>
    </w:div>
    <w:div w:id="1122304708">
      <w:bodyDiv w:val="1"/>
      <w:marLeft w:val="0"/>
      <w:marRight w:val="0"/>
      <w:marTop w:val="0"/>
      <w:marBottom w:val="0"/>
      <w:divBdr>
        <w:top w:val="none" w:sz="0" w:space="0" w:color="auto"/>
        <w:left w:val="none" w:sz="0" w:space="0" w:color="auto"/>
        <w:bottom w:val="none" w:sz="0" w:space="0" w:color="auto"/>
        <w:right w:val="none" w:sz="0" w:space="0" w:color="auto"/>
      </w:divBdr>
    </w:div>
    <w:div w:id="1284313444">
      <w:bodyDiv w:val="1"/>
      <w:marLeft w:val="0"/>
      <w:marRight w:val="0"/>
      <w:marTop w:val="0"/>
      <w:marBottom w:val="0"/>
      <w:divBdr>
        <w:top w:val="none" w:sz="0" w:space="0" w:color="auto"/>
        <w:left w:val="none" w:sz="0" w:space="0" w:color="auto"/>
        <w:bottom w:val="none" w:sz="0" w:space="0" w:color="auto"/>
        <w:right w:val="none" w:sz="0" w:space="0" w:color="auto"/>
      </w:divBdr>
      <w:divsChild>
        <w:div w:id="1717663064">
          <w:marLeft w:val="1526"/>
          <w:marRight w:val="0"/>
          <w:marTop w:val="0"/>
          <w:marBottom w:val="0"/>
          <w:divBdr>
            <w:top w:val="none" w:sz="0" w:space="0" w:color="auto"/>
            <w:left w:val="none" w:sz="0" w:space="0" w:color="auto"/>
            <w:bottom w:val="none" w:sz="0" w:space="0" w:color="auto"/>
            <w:right w:val="none" w:sz="0" w:space="0" w:color="auto"/>
          </w:divBdr>
        </w:div>
        <w:div w:id="1002508286">
          <w:marLeft w:val="1526"/>
          <w:marRight w:val="0"/>
          <w:marTop w:val="0"/>
          <w:marBottom w:val="0"/>
          <w:divBdr>
            <w:top w:val="none" w:sz="0" w:space="0" w:color="auto"/>
            <w:left w:val="none" w:sz="0" w:space="0" w:color="auto"/>
            <w:bottom w:val="none" w:sz="0" w:space="0" w:color="auto"/>
            <w:right w:val="none" w:sz="0" w:space="0" w:color="auto"/>
          </w:divBdr>
        </w:div>
        <w:div w:id="488255033">
          <w:marLeft w:val="1526"/>
          <w:marRight w:val="0"/>
          <w:marTop w:val="0"/>
          <w:marBottom w:val="0"/>
          <w:divBdr>
            <w:top w:val="none" w:sz="0" w:space="0" w:color="auto"/>
            <w:left w:val="none" w:sz="0" w:space="0" w:color="auto"/>
            <w:bottom w:val="none" w:sz="0" w:space="0" w:color="auto"/>
            <w:right w:val="none" w:sz="0" w:space="0" w:color="auto"/>
          </w:divBdr>
        </w:div>
      </w:divsChild>
    </w:div>
    <w:div w:id="1352150875">
      <w:bodyDiv w:val="1"/>
      <w:marLeft w:val="0"/>
      <w:marRight w:val="0"/>
      <w:marTop w:val="0"/>
      <w:marBottom w:val="0"/>
      <w:divBdr>
        <w:top w:val="none" w:sz="0" w:space="0" w:color="auto"/>
        <w:left w:val="none" w:sz="0" w:space="0" w:color="auto"/>
        <w:bottom w:val="none" w:sz="0" w:space="0" w:color="auto"/>
        <w:right w:val="none" w:sz="0" w:space="0" w:color="auto"/>
      </w:divBdr>
      <w:divsChild>
        <w:div w:id="1062027114">
          <w:marLeft w:val="446"/>
          <w:marRight w:val="0"/>
          <w:marTop w:val="0"/>
          <w:marBottom w:val="240"/>
          <w:divBdr>
            <w:top w:val="none" w:sz="0" w:space="0" w:color="auto"/>
            <w:left w:val="none" w:sz="0" w:space="0" w:color="auto"/>
            <w:bottom w:val="none" w:sz="0" w:space="0" w:color="auto"/>
            <w:right w:val="none" w:sz="0" w:space="0" w:color="auto"/>
          </w:divBdr>
        </w:div>
      </w:divsChild>
    </w:div>
    <w:div w:id="1354190378">
      <w:bodyDiv w:val="1"/>
      <w:marLeft w:val="0"/>
      <w:marRight w:val="0"/>
      <w:marTop w:val="0"/>
      <w:marBottom w:val="0"/>
      <w:divBdr>
        <w:top w:val="none" w:sz="0" w:space="0" w:color="auto"/>
        <w:left w:val="none" w:sz="0" w:space="0" w:color="auto"/>
        <w:bottom w:val="none" w:sz="0" w:space="0" w:color="auto"/>
        <w:right w:val="none" w:sz="0" w:space="0" w:color="auto"/>
      </w:divBdr>
      <w:divsChild>
        <w:div w:id="1240628892">
          <w:marLeft w:val="446"/>
          <w:marRight w:val="0"/>
          <w:marTop w:val="0"/>
          <w:marBottom w:val="240"/>
          <w:divBdr>
            <w:top w:val="none" w:sz="0" w:space="0" w:color="auto"/>
            <w:left w:val="none" w:sz="0" w:space="0" w:color="auto"/>
            <w:bottom w:val="none" w:sz="0" w:space="0" w:color="auto"/>
            <w:right w:val="none" w:sz="0" w:space="0" w:color="auto"/>
          </w:divBdr>
        </w:div>
      </w:divsChild>
    </w:div>
    <w:div w:id="1555310584">
      <w:bodyDiv w:val="1"/>
      <w:marLeft w:val="0"/>
      <w:marRight w:val="0"/>
      <w:marTop w:val="0"/>
      <w:marBottom w:val="0"/>
      <w:divBdr>
        <w:top w:val="none" w:sz="0" w:space="0" w:color="auto"/>
        <w:left w:val="none" w:sz="0" w:space="0" w:color="auto"/>
        <w:bottom w:val="none" w:sz="0" w:space="0" w:color="auto"/>
        <w:right w:val="none" w:sz="0" w:space="0" w:color="auto"/>
      </w:divBdr>
    </w:div>
    <w:div w:id="18342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Ebba K</dc:creator>
  <cp:keywords/>
  <dc:description/>
  <cp:lastModifiedBy>Frankel, Susan -FS</cp:lastModifiedBy>
  <cp:revision>4</cp:revision>
  <dcterms:created xsi:type="dcterms:W3CDTF">2020-02-18T17:22:00Z</dcterms:created>
  <dcterms:modified xsi:type="dcterms:W3CDTF">2020-02-18T20:38:00Z</dcterms:modified>
</cp:coreProperties>
</file>